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C4040E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C4040E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4670CA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C4040E" w:rsidRDefault="001B7A85" w:rsidP="00203D86">
            <w:pPr>
              <w:rPr>
                <w:rFonts w:asciiTheme="minorHAnsi" w:hAnsiTheme="minorHAnsi"/>
                <w:highlight w:val="yellow"/>
              </w:rPr>
            </w:pPr>
            <w:r w:rsidRPr="00053D3C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>Éliminez le gluten</w:t>
            </w:r>
            <w:r w:rsidRPr="00053D3C">
              <w:rPr>
                <w:rFonts w:asciiTheme="minorHAnsi" w:hAnsiTheme="minorHAnsi"/>
              </w:rPr>
              <w:t xml:space="preserve"> </w:t>
            </w:r>
          </w:p>
        </w:tc>
      </w:tr>
      <w:tr w:rsidR="00D36630" w:rsidRPr="00C4040E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C4040E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4670CA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4670CA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053D3C" w:rsidRDefault="00EC701D" w:rsidP="00CD2100">
            <w:pPr>
              <w:rPr>
                <w:rFonts w:asciiTheme="minorHAnsi" w:hAnsiTheme="minorHAnsi" w:cs="Arial"/>
                <w:sz w:val="16"/>
                <w:szCs w:val="16"/>
                <w:highlight w:val="yellow"/>
                <w:lang w:val="fr-CA"/>
              </w:rPr>
            </w:pPr>
            <w:r w:rsidRPr="00EC701D">
              <w:rPr>
                <w:rFonts w:ascii="Calibri" w:hAnsi="Calibri"/>
                <w:b/>
                <w:sz w:val="18"/>
                <w:lang w:val="fr-CA"/>
              </w:rPr>
              <w:t>C</w:t>
            </w:r>
            <w:r>
              <w:rPr>
                <w:rFonts w:ascii="Calibri" w:hAnsi="Calibri"/>
                <w:b/>
                <w:sz w:val="18"/>
                <w:lang w:val="fr-CA"/>
              </w:rPr>
              <w:t>omment p</w:t>
            </w:r>
            <w:r w:rsidR="001B7A85" w:rsidRPr="00053D3C">
              <w:rPr>
                <w:rFonts w:ascii="Calibri" w:hAnsi="Calibri"/>
                <w:b/>
                <w:sz w:val="18"/>
                <w:lang w:val="fr-CA"/>
              </w:rPr>
              <w:t>ouvez-</w:t>
            </w:r>
            <w:r w:rsidR="001B7A85" w:rsidRPr="007157D3">
              <w:rPr>
                <w:rFonts w:ascii="Calibri" w:hAnsi="Calibri"/>
                <w:b/>
                <w:sz w:val="18"/>
                <w:lang w:val="fr-CA"/>
              </w:rPr>
              <w:t xml:space="preserve">vous créer un menu sans gluten </w:t>
            </w:r>
            <w:r w:rsidR="00CD2100" w:rsidRPr="007157D3">
              <w:rPr>
                <w:rFonts w:ascii="Calibri" w:hAnsi="Calibri"/>
                <w:b/>
                <w:sz w:val="18"/>
                <w:lang w:val="fr-CA"/>
              </w:rPr>
              <w:t xml:space="preserve">qui est </w:t>
            </w:r>
            <w:r w:rsidR="001B7A85" w:rsidRPr="007157D3">
              <w:rPr>
                <w:rFonts w:ascii="Calibri" w:hAnsi="Calibri"/>
                <w:b/>
                <w:sz w:val="18"/>
                <w:lang w:val="fr-CA"/>
              </w:rPr>
              <w:t>équilibré, nutritif et délicieux?</w:t>
            </w:r>
            <w:r w:rsidR="001B7A85" w:rsidRPr="007157D3">
              <w:rPr>
                <w:rFonts w:asciiTheme="minorHAnsi" w:hAnsiTheme="minorHAnsi"/>
                <w:lang w:val="fr-CA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C4040E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670CA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4670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4670CA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6B523B" w:rsidRDefault="003D214B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6B523B">
              <w:rPr>
                <w:rFonts w:asciiTheme="minorHAnsi" w:hAnsiTheme="minorHAnsi"/>
                <w:b/>
                <w:sz w:val="28"/>
                <w:szCs w:val="28"/>
              </w:rPr>
              <w:t xml:space="preserve">20 </w:t>
            </w:r>
            <w:proofErr w:type="spellStart"/>
            <w:r w:rsidRPr="006B523B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 w:rsidR="00CE59A3" w:rsidRPr="006B523B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6B523B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CE59A3" w:rsidRPr="006B523B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6B523B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proofErr w:type="spellEnd"/>
          </w:p>
        </w:tc>
      </w:tr>
      <w:tr w:rsidR="008D44A9" w:rsidRPr="006F1951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053D3C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053D3C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053D3C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90"/>
        <w:gridCol w:w="2610"/>
      </w:tblGrid>
      <w:tr w:rsidR="001B7A85" w:rsidRPr="006F1951" w:rsidTr="002111B0">
        <w:trPr>
          <w:trHeight w:val="485"/>
        </w:trPr>
        <w:tc>
          <w:tcPr>
            <w:tcW w:w="2070" w:type="dxa"/>
            <w:shd w:val="clear" w:color="auto" w:fill="DDE9F7"/>
          </w:tcPr>
          <w:p w:rsidR="001B7A85" w:rsidRPr="00C4040E" w:rsidRDefault="001B7A85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4670CA">
              <w:rPr>
                <w:rFonts w:ascii="Arial" w:hAnsi="Arial"/>
                <w:b/>
                <w:color w:val="1F497D"/>
                <w:sz w:val="20"/>
              </w:rPr>
              <w:t xml:space="preserve">Description du </w:t>
            </w: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5"/>
          </w:tcPr>
          <w:p w:rsidR="001B7A85" w:rsidRPr="00053D3C" w:rsidRDefault="001B7A85" w:rsidP="002111B0">
            <w:pPr>
              <w:pStyle w:val="Answers"/>
              <w:spacing w:before="60" w:after="60" w:line="240" w:lineRule="auto"/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</w:pPr>
            <w:r w:rsidRPr="00053D3C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Les élèves créeront et modifieront des recettes exemptes de produits contenant du gluten (blé, seigle, avoine et orge) et les présenteront à un jury.</w:t>
            </w:r>
          </w:p>
        </w:tc>
      </w:tr>
      <w:tr w:rsidR="001B7A85" w:rsidRPr="00073ADF" w:rsidTr="002111B0">
        <w:trPr>
          <w:trHeight w:val="449"/>
        </w:trPr>
        <w:tc>
          <w:tcPr>
            <w:tcW w:w="2070" w:type="dxa"/>
            <w:shd w:val="clear" w:color="auto" w:fill="DDE9F7"/>
          </w:tcPr>
          <w:p w:rsidR="001B7A85" w:rsidRPr="00C4040E" w:rsidRDefault="001B7A85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Scénario</w:t>
            </w:r>
            <w:proofErr w:type="spellEnd"/>
          </w:p>
        </w:tc>
        <w:tc>
          <w:tcPr>
            <w:tcW w:w="7470" w:type="dxa"/>
            <w:gridSpan w:val="5"/>
          </w:tcPr>
          <w:p w:rsidR="001B7A85" w:rsidRPr="00053D3C" w:rsidRDefault="001B7A85" w:rsidP="002111B0">
            <w:pPr>
              <w:pStyle w:val="Answers"/>
              <w:spacing w:before="60" w:after="60" w:line="240" w:lineRule="auto"/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</w:pP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Pouvez-vous imaginer comment vous vous sentiriez si vous n</w:t>
            </w:r>
            <w:r w:rsidR="00CE59A3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e pouviez pas manger 80 % des sortes de </w:t>
            </w: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nourriture offerte</w:t>
            </w:r>
            <w:r w:rsidR="00CE59A3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s</w:t>
            </w: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au restaurant, au cinéma ou à l'épicerie? Pour certaines personnes, c'est une réalité. Vous devrez créer un menu constitué de collations et de repas que </w:t>
            </w:r>
            <w:r w:rsidR="00CD2100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tout le monde peut manger et </w:t>
            </w: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les </w:t>
            </w:r>
            <w:r w:rsidR="00CD2100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essayer</w:t>
            </w: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</w:t>
            </w:r>
            <w:r w:rsidR="00CD2100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en </w:t>
            </w: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classe. Votre groupe sera chargé </w:t>
            </w:r>
            <w:r w:rsidR="00A00370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de rédiger une lettre administrative</w:t>
            </w:r>
            <w:r w:rsidR="00D04761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invitant les membres du jury (qui </w:t>
            </w:r>
            <w:proofErr w:type="gramStart"/>
            <w:r w:rsidR="00D04761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sont</w:t>
            </w:r>
            <w:proofErr w:type="gramEnd"/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de</w:t>
            </w:r>
            <w:r w:rsidR="00D04761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s</w:t>
            </w:r>
            <w:r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membres du grand public) et de </w:t>
            </w:r>
            <w:r w:rsidR="00FB6AEF" w:rsidRPr="007157D3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leur présenter</w:t>
            </w:r>
            <w:r w:rsidR="00D04761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</w:t>
            </w:r>
            <w:r w:rsidRPr="00053D3C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vos aliments principaux.</w:t>
            </w:r>
          </w:p>
        </w:tc>
      </w:tr>
      <w:tr w:rsidR="00147B5E" w:rsidRPr="004670CA" w:rsidTr="002111B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4670CA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5"/>
            <w:tcBorders>
              <w:bottom w:val="nil"/>
            </w:tcBorders>
            <w:vAlign w:val="center"/>
          </w:tcPr>
          <w:p w:rsidR="00147B5E" w:rsidRPr="00C4040E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4670CA">
              <w:rPr>
                <w:rFonts w:asciiTheme="minorHAnsi" w:hAnsiTheme="minorHAnsi" w:cstheme="minorHAnsi"/>
                <w:b/>
                <w:sz w:val="18"/>
              </w:rPr>
              <w:t>AFFAIRES</w:t>
            </w:r>
          </w:p>
        </w:tc>
      </w:tr>
      <w:tr w:rsidR="00147B5E" w:rsidRPr="004670CA" w:rsidTr="002111B0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2111B0" w:rsidRDefault="006F1951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7207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Entreprise et innovation</w:t>
            </w:r>
          </w:p>
          <w:p w:rsidR="00147B5E" w:rsidRPr="002111B0" w:rsidRDefault="006F1951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576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2111B0" w:rsidRDefault="006F1951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702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Gestion</w:t>
            </w:r>
            <w:proofErr w:type="spellEnd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 xml:space="preserve"> et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markéting</w:t>
            </w:r>
            <w:proofErr w:type="spellEnd"/>
          </w:p>
          <w:p w:rsidR="00147B5E" w:rsidRPr="002111B0" w:rsidRDefault="006F1951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944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Informatique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2111B0" w:rsidRDefault="006F1951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9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Réseautage</w:t>
            </w:r>
            <w:proofErr w:type="spellEnd"/>
          </w:p>
          <w:p w:rsidR="00147B5E" w:rsidRPr="002111B0" w:rsidRDefault="006F1951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30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Traitement</w:t>
            </w:r>
            <w:proofErr w:type="spellEnd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l’information</w:t>
            </w:r>
            <w:proofErr w:type="spellEnd"/>
          </w:p>
        </w:tc>
      </w:tr>
      <w:tr w:rsidR="00147B5E" w:rsidRPr="004670CA" w:rsidTr="002111B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C4040E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4670CA">
              <w:rPr>
                <w:rFonts w:asciiTheme="minorHAnsi" w:hAnsiTheme="minorHAnsi" w:cstheme="minorHAnsi"/>
                <w:b/>
                <w:sz w:val="18"/>
              </w:rPr>
              <w:t>COMMUNICATION</w:t>
            </w:r>
          </w:p>
        </w:tc>
      </w:tr>
      <w:tr w:rsidR="00147B5E" w:rsidRPr="004670CA" w:rsidTr="002111B0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2111B0" w:rsidRDefault="006F1951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771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2111B0" w:rsidRDefault="006F1951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158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2111B0" w:rsidRDefault="006F1951" w:rsidP="002723D7">
            <w:pPr>
              <w:ind w:left="-18" w:firstLine="18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53740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</w:rPr>
              <w:t>Technologies des communications</w:t>
            </w:r>
          </w:p>
        </w:tc>
      </w:tr>
      <w:tr w:rsidR="00147B5E" w:rsidRPr="004670CA" w:rsidTr="002111B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C4040E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4670CA">
              <w:rPr>
                <w:rFonts w:asciiTheme="minorHAnsi" w:hAnsiTheme="minorHAnsi" w:cstheme="minorHAnsi"/>
                <w:b/>
                <w:sz w:val="18"/>
              </w:rPr>
              <w:t>RESSOURCES</w:t>
            </w:r>
          </w:p>
        </w:tc>
      </w:tr>
      <w:tr w:rsidR="00147B5E" w:rsidRPr="004670CA" w:rsidTr="002111B0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8D7207" w:rsidRDefault="006F1951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034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Agriculture</w:t>
            </w:r>
          </w:p>
          <w:p w:rsidR="00147B5E" w:rsidRPr="008D7207" w:rsidRDefault="006F1951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869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Faune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8D7207" w:rsidRDefault="006F1951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426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Foresterie</w:t>
            </w:r>
            <w:proofErr w:type="spellEnd"/>
          </w:p>
          <w:p w:rsidR="00147B5E" w:rsidRPr="008D7207" w:rsidRDefault="006F1951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166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Gérance</w:t>
            </w:r>
            <w:proofErr w:type="spellEnd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environnementale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8D7207" w:rsidRDefault="006F1951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4382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Ressources</w:t>
            </w:r>
            <w:proofErr w:type="spellEnd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106C12" w:rsidRPr="008D7207">
              <w:rPr>
                <w:rFonts w:asciiTheme="minorHAnsi" w:hAnsiTheme="minorHAnsi" w:cstheme="minorHAnsi"/>
                <w:sz w:val="16"/>
                <w:szCs w:val="16"/>
              </w:rPr>
              <w:t>primaires</w:t>
            </w:r>
            <w:proofErr w:type="spellEnd"/>
          </w:p>
        </w:tc>
      </w:tr>
      <w:tr w:rsidR="00147B5E" w:rsidRPr="004670CA" w:rsidTr="002111B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C4040E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4670CA">
              <w:rPr>
                <w:rFonts w:asciiTheme="minorHAnsi" w:hAnsiTheme="minorHAnsi" w:cstheme="minorHAnsi"/>
                <w:b/>
                <w:sz w:val="18"/>
              </w:rPr>
              <w:t>SERVICES SOCIAUX</w:t>
            </w:r>
          </w:p>
        </w:tc>
      </w:tr>
      <w:tr w:rsidR="00147B5E" w:rsidRPr="00053D3C" w:rsidTr="002111B0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2111B0" w:rsidRDefault="006F1951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999073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147B5E" w:rsidRPr="002111B0" w:rsidRDefault="006F1951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813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147B5E" w:rsidRPr="002111B0" w:rsidRDefault="006F1951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188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2111B0" w:rsidRDefault="006F1951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2445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147B5E" w:rsidRPr="002111B0" w:rsidRDefault="006F1951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232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147B5E" w:rsidRPr="002111B0" w:rsidRDefault="006F1951" w:rsidP="003D214B">
            <w:pPr>
              <w:tabs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54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2111B0" w:rsidRDefault="006F1951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501860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Pr="002111B0" w:rsidRDefault="006F1951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178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2111B0" w:rsidRDefault="006F1951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6858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Tourisme</w:t>
            </w:r>
          </w:p>
        </w:tc>
      </w:tr>
      <w:tr w:rsidR="00147B5E" w:rsidRPr="00053D3C" w:rsidTr="002111B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053D3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053D3C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8"/>
                <w:szCs w:val="18"/>
                <w:lang w:val="fr-CA"/>
              </w:rPr>
            </w:pPr>
            <w:r w:rsidRPr="00053D3C">
              <w:rPr>
                <w:rFonts w:asciiTheme="minorHAnsi" w:hAnsiTheme="minorHAnsi" w:cstheme="minorHAnsi"/>
                <w:b/>
                <w:sz w:val="18"/>
                <w:lang w:val="fr-CA"/>
              </w:rPr>
              <w:t>TECHNOLOGIE</w:t>
            </w:r>
          </w:p>
        </w:tc>
      </w:tr>
      <w:tr w:rsidR="00147B5E" w:rsidRPr="00053D3C" w:rsidTr="002111B0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053D3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2111B0" w:rsidRDefault="006F1951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96577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Construction</w:t>
            </w:r>
          </w:p>
          <w:p w:rsidR="00147B5E" w:rsidRPr="002111B0" w:rsidRDefault="006F1951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328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Électrotechnologies</w:t>
            </w:r>
            <w:proofErr w:type="spellEnd"/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2111B0" w:rsidRDefault="006F1951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2991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Fabrication</w:t>
            </w:r>
          </w:p>
          <w:p w:rsidR="00147B5E" w:rsidRPr="002111B0" w:rsidRDefault="006F1951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236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Logistique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2111B0" w:rsidRDefault="006F1951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413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8D720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06C12" w:rsidRPr="002111B0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Mécanique</w:t>
            </w:r>
          </w:p>
        </w:tc>
      </w:tr>
      <w:tr w:rsidR="00147B5E" w:rsidRPr="00053D3C" w:rsidTr="002111B0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053D3C" w:rsidRDefault="00FA6231" w:rsidP="00602903">
            <w:pPr>
              <w:spacing w:before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053D3C">
              <w:rPr>
                <w:rFonts w:ascii="Arial" w:hAnsi="Arial"/>
                <w:b/>
                <w:color w:val="1F497D"/>
                <w:sz w:val="20"/>
                <w:lang w:val="fr-CA"/>
              </w:rPr>
              <w:t xml:space="preserve">Habiletés associées à </w:t>
            </w:r>
            <w:r w:rsidRPr="00053D3C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053D3C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</w:tcPr>
          <w:p w:rsidR="001B7A85" w:rsidRPr="00053D3C" w:rsidRDefault="001B7A85" w:rsidP="00053D3C">
            <w:pPr>
              <w:spacing w:before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053D3C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</w:t>
            </w:r>
            <w:r w:rsidR="00053D3C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1B7A85" w:rsidRPr="007157D3" w:rsidRDefault="001B7A85" w:rsidP="006B523B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les méthodes et les outils qui conviennent pour </w:t>
            </w:r>
            <w:r w:rsidR="000A214C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communiquer un message</w:t>
            </w:r>
          </w:p>
          <w:p w:rsidR="001B7A85" w:rsidRPr="007157D3" w:rsidRDefault="00D04761" w:rsidP="006B523B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Employer un langage convenable et respectueux dans</w:t>
            </w:r>
            <w:r w:rsidR="000A214C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communication</w:t>
            </w:r>
          </w:p>
          <w:p w:rsidR="001B7A85" w:rsidRPr="007157D3" w:rsidRDefault="00AE522A" w:rsidP="006B523B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Adopter des pratiques favorisant la</w:t>
            </w:r>
            <w:r w:rsidR="001B7A85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santé et </w:t>
            </w: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la</w:t>
            </w:r>
            <w:r w:rsidR="000A214C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1B7A85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sécurité (p</w:t>
            </w:r>
            <w:r w:rsidR="000A214C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osture, conception ergonomique)</w:t>
            </w:r>
          </w:p>
          <w:p w:rsidR="001B7A85" w:rsidRPr="007157D3" w:rsidRDefault="006175E1" w:rsidP="006B523B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la</w:t>
            </w:r>
            <w:r w:rsidR="008E4EF7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sécurité </w:t>
            </w: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des pièces d'équipement, des logiciels, d</w:t>
            </w:r>
            <w:r w:rsidR="001B7A85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fournitures et</w:t>
            </w:r>
            <w:r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</w:t>
            </w:r>
            <w:r w:rsidR="002B6F8A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gen</w:t>
            </w:r>
            <w:r w:rsidR="000A214C" w:rsidRPr="007157D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</w:p>
          <w:p w:rsidR="001B7A85" w:rsidRPr="00053D3C" w:rsidRDefault="001B7A85" w:rsidP="00053D3C">
            <w:pPr>
              <w:spacing w:before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053D3C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Alimentation</w:t>
            </w:r>
            <w:r w:rsidR="00053D3C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1B7A85" w:rsidRPr="00053D3C" w:rsidRDefault="000A214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Rédiger et évaluer des recettes</w:t>
            </w:r>
          </w:p>
          <w:p w:rsid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Connaitre et appliquer les pratiques sécuritaires et sanitaires</w:t>
            </w:r>
          </w:p>
          <w:p w:rsidR="00053D3C" w:rsidRP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2239B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avoir utiliser les appareils et les ustensiles de cuisine de façon sécuritaire et correcte </w:t>
            </w:r>
          </w:p>
          <w:p w:rsidR="00053D3C" w:rsidRPr="00175C80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Respecter les mesures</w:t>
            </w:r>
          </w:p>
          <w:p w:rsid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540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des aliments en fonction du </w:t>
            </w:r>
            <w:hyperlink r:id="rId9" w:history="1">
              <w:r w:rsidRPr="00522E8B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Guide alimentaire canadien</w:t>
              </w:r>
            </w:hyperlink>
          </w:p>
          <w:p w:rsidR="00053D3C" w:rsidRPr="00E15C0A" w:rsidRDefault="00053D3C" w:rsidP="006B523B">
            <w:pPr>
              <w:pStyle w:val="ListParagraph"/>
              <w:numPr>
                <w:ilvl w:val="1"/>
                <w:numId w:val="32"/>
              </w:numPr>
              <w:spacing w:before="60" w:after="60"/>
              <w:ind w:left="548" w:hanging="274"/>
              <w:contextualSpacing/>
              <w:rPr>
                <w:rStyle w:val="Hyperlink"/>
                <w:rFonts w:asciiTheme="minorHAnsi" w:eastAsia="Times New Roman" w:hAnsiTheme="minorHAnsi" w:cs="Arial"/>
                <w:color w:val="auto"/>
                <w:sz w:val="16"/>
                <w:szCs w:val="16"/>
                <w:u w:val="none"/>
                <w:lang w:val="fr-CA" w:eastAsia="en-US"/>
              </w:rPr>
            </w:pPr>
            <w:r w:rsidRPr="00522E8B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</w:t>
            </w:r>
            <w:r w:rsidRPr="00522E8B">
              <w:rPr>
                <w:lang w:val="fr-CA"/>
              </w:rPr>
              <w:t xml:space="preserve"> </w:t>
            </w:r>
            <w:hyperlink r:id="rId10" w:history="1">
              <w:r w:rsidRPr="00E15C0A">
                <w:rPr>
                  <w:rStyle w:val="Hyperlink"/>
                  <w:rFonts w:asciiTheme="minorHAnsi" w:hAnsiTheme="minorHAnsi" w:cs="Arial"/>
                  <w:sz w:val="16"/>
                  <w:szCs w:val="20"/>
                  <w:lang w:val="fr-CA"/>
                </w:rPr>
                <w:t>le tableau de valeur nutritive</w:t>
              </w:r>
            </w:hyperlink>
          </w:p>
          <w:p w:rsidR="00053D3C" w:rsidRPr="00175C80" w:rsidRDefault="006F1951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1" w:history="1">
              <w:r w:rsidR="00053D3C" w:rsidRPr="007157D3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Reconnaitre les portions</w:t>
              </w:r>
            </w:hyperlink>
          </w:p>
          <w:p w:rsid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75C8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Employer la terminologie de base</w:t>
            </w:r>
          </w:p>
          <w:p w:rsidR="00053D3C" w:rsidRP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53D3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Utiliser les techniques de coupe</w:t>
            </w:r>
          </w:p>
          <w:p w:rsidR="00053D3C" w:rsidRPr="00D969A5" w:rsidRDefault="00053D3C" w:rsidP="00053D3C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Services sociaux :</w:t>
            </w:r>
          </w:p>
          <w:p w:rsidR="00053D3C" w:rsidRPr="00C31654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3165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Analyser les choix alimentaires et leurs répercussions sur la santé et le bienêtre</w:t>
            </w:r>
          </w:p>
          <w:p w:rsid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3165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Évaluer les dimensions du bienêtre et les facteurs qui influent sur le bienêtre personnel</w:t>
            </w:r>
          </w:p>
          <w:p w:rsidR="00602903" w:rsidRPr="00053D3C" w:rsidRDefault="00053D3C" w:rsidP="006B523B">
            <w:pPr>
              <w:pStyle w:val="ListParagraph"/>
              <w:numPr>
                <w:ilvl w:val="0"/>
                <w:numId w:val="32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53D3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Gérer de l’information</w:t>
            </w:r>
          </w:p>
        </w:tc>
      </w:tr>
      <w:tr w:rsidR="00147B5E" w:rsidRPr="006F1951" w:rsidTr="002111B0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053D3C" w:rsidRDefault="009C59D8" w:rsidP="00580DFA">
            <w:pPr>
              <w:pageBreakBefore/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053D3C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>Questions de sécurité et préoccupations environnementales</w:t>
            </w:r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</w:tcPr>
          <w:p w:rsidR="00053D3C" w:rsidRPr="00053D3C" w:rsidRDefault="00580DFA" w:rsidP="00580DFA">
            <w:pPr>
              <w:numPr>
                <w:ilvl w:val="0"/>
                <w:numId w:val="34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>
              <w:rPr>
                <w:rFonts w:ascii="Calibri" w:hAnsi="Calibri" w:cs="Calibri"/>
                <w:sz w:val="16"/>
                <w:szCs w:val="16"/>
                <w:lang w:val="fr-CA"/>
              </w:rPr>
              <w:t>La citoyenneté numérique</w:t>
            </w:r>
          </w:p>
          <w:p w:rsidR="00053D3C" w:rsidRPr="002111B0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12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maitrise du Web destiné aux élèves</w:t>
              </w:r>
            </w:hyperlink>
          </w:p>
          <w:p w:rsidR="00053D3C" w:rsidRPr="00053D3C" w:rsidRDefault="00053D3C" w:rsidP="00580DFA">
            <w:pPr>
              <w:numPr>
                <w:ilvl w:val="0"/>
                <w:numId w:val="34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053D3C">
              <w:rPr>
                <w:rFonts w:ascii="Calibri" w:hAnsi="Calibri" w:cs="Arial"/>
                <w:sz w:val="16"/>
                <w:szCs w:val="16"/>
                <w:lang w:val="fr-CA"/>
              </w:rPr>
              <w:t>L’hygiène et salubrité des aliments</w:t>
            </w:r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3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Soyez prudents avec les aliments</w:t>
              </w:r>
            </w:hyperlink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4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GUIDE des bonnes pratiques d’hygiène et de salubrité alimentaires</w:t>
              </w:r>
            </w:hyperlink>
          </w:p>
          <w:p w:rsidR="00053D3C" w:rsidRPr="00053D3C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="Calibri" w:hAnsi="Calibri" w:cs="Arial"/>
                <w:sz w:val="16"/>
                <w:szCs w:val="16"/>
                <w:lang w:val="fr-CA"/>
              </w:rPr>
            </w:pPr>
            <w:hyperlink r:id="rId15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Mes aliments, j’en prends soin!</w:t>
              </w:r>
            </w:hyperlink>
          </w:p>
          <w:p w:rsidR="00053D3C" w:rsidRPr="00053D3C" w:rsidRDefault="00053D3C" w:rsidP="00580DFA">
            <w:pPr>
              <w:numPr>
                <w:ilvl w:val="0"/>
                <w:numId w:val="34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053D3C">
              <w:rPr>
                <w:rFonts w:ascii="Calibri" w:hAnsi="Calibri" w:cs="Arial"/>
                <w:sz w:val="16"/>
                <w:szCs w:val="16"/>
                <w:lang w:val="fr-CA"/>
              </w:rPr>
              <w:t>Les techniques de coupe devant être utilisées</w:t>
            </w:r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6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utiliser des couteaux?</w:t>
              </w:r>
            </w:hyperlink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7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découper des légumes?</w:t>
              </w:r>
            </w:hyperlink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18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utiliser le couteau du chef?</w:t>
              </w:r>
            </w:hyperlink>
          </w:p>
          <w:p w:rsidR="00053D3C" w:rsidRPr="00053D3C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="Calibri" w:hAnsi="Calibri" w:cs="Arial"/>
                <w:sz w:val="16"/>
                <w:szCs w:val="16"/>
                <w:lang w:val="fr-CA"/>
              </w:rPr>
            </w:pPr>
            <w:hyperlink r:id="rId19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Comment réaliser de belles coupes de légumes</w:t>
              </w:r>
            </w:hyperlink>
          </w:p>
          <w:p w:rsidR="00053D3C" w:rsidRPr="00053D3C" w:rsidRDefault="00053D3C" w:rsidP="00580DFA">
            <w:pPr>
              <w:numPr>
                <w:ilvl w:val="0"/>
                <w:numId w:val="34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053D3C">
              <w:rPr>
                <w:rFonts w:ascii="Calibri" w:hAnsi="Calibri" w:cs="Arial"/>
                <w:sz w:val="16"/>
                <w:szCs w:val="16"/>
                <w:lang w:val="fr-CA"/>
              </w:rPr>
              <w:t>Pas de chahut dans la cuisine</w:t>
            </w:r>
            <w:bookmarkStart w:id="0" w:name="_GoBack"/>
            <w:bookmarkEnd w:id="0"/>
          </w:p>
          <w:p w:rsidR="00053D3C" w:rsidRPr="00053D3C" w:rsidRDefault="00053D3C" w:rsidP="00580DFA">
            <w:pPr>
              <w:numPr>
                <w:ilvl w:val="0"/>
                <w:numId w:val="34"/>
              </w:numPr>
              <w:spacing w:before="60"/>
              <w:ind w:left="274" w:hanging="274"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053D3C">
              <w:rPr>
                <w:rFonts w:ascii="Calibri" w:hAnsi="Calibri" w:cs="Arial"/>
                <w:sz w:val="16"/>
                <w:szCs w:val="16"/>
                <w:lang w:val="fr-CA"/>
              </w:rPr>
              <w:t>L’ergonomie et la prévention des accidents</w:t>
            </w:r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0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Capsules de prévention en cuisine</w:t>
              </w:r>
            </w:hyperlink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1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La sécurité dans la cuisine : liste des situations à risques et solutions pratiques</w:t>
              </w:r>
            </w:hyperlink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2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de sécurité dans la cuisine</w:t>
              </w:r>
            </w:hyperlink>
          </w:p>
          <w:p w:rsidR="00053D3C" w:rsidRPr="006B523B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0000FF"/>
                <w:sz w:val="16"/>
                <w:szCs w:val="16"/>
                <w:u w:val="single"/>
                <w:lang w:val="fr-CA"/>
              </w:rPr>
            </w:pPr>
            <w:hyperlink r:id="rId23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pour l’ergonomie devant l’ordinateur.wmv</w:t>
              </w:r>
            </w:hyperlink>
          </w:p>
          <w:p w:rsidR="00053D3C" w:rsidRPr="00053D3C" w:rsidRDefault="006F1951" w:rsidP="006B523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="Calibri" w:hAnsi="Calibri" w:cs="Arial"/>
                <w:sz w:val="16"/>
                <w:szCs w:val="16"/>
                <w:lang w:val="fr-CA"/>
              </w:rPr>
            </w:pPr>
            <w:hyperlink r:id="rId24" w:history="1">
              <w:r w:rsidR="00053D3C" w:rsidRPr="006B523B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CONSEILS ERGONOMIQUES pour le travail à l’ordinateur</w:t>
              </w:r>
            </w:hyperlink>
          </w:p>
          <w:p w:rsidR="00053D3C" w:rsidRPr="00053D3C" w:rsidRDefault="00053D3C" w:rsidP="00324688">
            <w:pPr>
              <w:numPr>
                <w:ilvl w:val="0"/>
                <w:numId w:val="34"/>
              </w:numPr>
              <w:spacing w:before="60" w:after="60"/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53D3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la sécurité du matériel, des logiciels, des fournitures et du travail personnel</w:t>
            </w:r>
          </w:p>
          <w:p w:rsidR="007A516B" w:rsidRPr="00053D3C" w:rsidRDefault="00383C80" w:rsidP="006B523B">
            <w:pPr>
              <w:spacing w:before="60" w:after="60"/>
              <w:rPr>
                <w:rFonts w:asciiTheme="minorHAnsi" w:hAnsiTheme="minorHAnsi" w:cstheme="minorHAnsi"/>
                <w:vanish/>
                <w:sz w:val="16"/>
                <w:szCs w:val="16"/>
                <w:lang w:val="fr-CA"/>
              </w:rPr>
            </w:pPr>
            <w:r w:rsidRPr="00053D3C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C4040E" w:rsidTr="002111B0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4670CA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7C1549" w:rsidRDefault="006F1951" w:rsidP="007C1549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91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07" w:rsidRPr="007C15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D7207" w:rsidRPr="007C15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106C12" w:rsidRPr="007C154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485665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 w:rsidRPr="007C154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C1549" w:rsidRPr="007C1549">
              <w:rPr>
                <w:sz w:val="18"/>
                <w:szCs w:val="18"/>
              </w:rPr>
              <w:t xml:space="preserve"> 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106C12" w:rsidRPr="007C154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227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 w:rsidRPr="007C15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1549" w:rsidRPr="007C1549">
              <w:rPr>
                <w:sz w:val="18"/>
                <w:szCs w:val="18"/>
              </w:rPr>
              <w:t xml:space="preserve"> 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106C12" w:rsidRPr="007C154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386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 w:rsidRPr="007C15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1549" w:rsidRPr="007C1549">
              <w:rPr>
                <w:sz w:val="18"/>
                <w:szCs w:val="18"/>
              </w:rPr>
              <w:t xml:space="preserve"> 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106C12" w:rsidRPr="007C154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1399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 w:rsidRPr="007C15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C1549" w:rsidRPr="007C1549">
              <w:rPr>
                <w:sz w:val="18"/>
                <w:szCs w:val="18"/>
              </w:rPr>
              <w:t xml:space="preserve"> 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06C12" w:rsidRPr="007C15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</w:p>
        </w:tc>
      </w:tr>
      <w:tr w:rsidR="00147B5E" w:rsidRPr="004670CA" w:rsidTr="002111B0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4670CA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4670CA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5"/>
            <w:tcBorders>
              <w:top w:val="single" w:sz="4" w:space="0" w:color="244061" w:themeColor="accent1" w:themeShade="80"/>
              <w:bottom w:val="nil"/>
            </w:tcBorders>
          </w:tcPr>
          <w:p w:rsidR="00147B5E" w:rsidRPr="00C4040E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4670CA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4670CA" w:rsidTr="00477C96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C4040E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3024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4882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2997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053D3C" w:rsidRDefault="006F1951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6326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45161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2037616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053D3C" w:rsidRDefault="006F1951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2141607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548531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7456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053D3C" w:rsidRDefault="006F1951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250514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106C12" w:rsidRPr="00053D3C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4670CA" w:rsidRDefault="006F1951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18844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549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7C154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06C12" w:rsidRPr="004670CA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9F1907" w:rsidRDefault="009F1907" w:rsidP="00D36630">
      <w:pPr>
        <w:rPr>
          <w:rFonts w:ascii="Arial" w:hAnsi="Arial" w:cs="Arial"/>
          <w:sz w:val="20"/>
          <w:szCs w:val="20"/>
        </w:rPr>
      </w:pPr>
    </w:p>
    <w:p w:rsidR="006F1951" w:rsidRPr="00855872" w:rsidRDefault="006F1951" w:rsidP="006F1951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6F1951" w:rsidRDefault="006F1951" w:rsidP="00D36630">
      <w:pPr>
        <w:rPr>
          <w:rFonts w:ascii="Arial" w:hAnsi="Arial" w:cs="Arial"/>
          <w:sz w:val="20"/>
          <w:szCs w:val="20"/>
        </w:rPr>
      </w:pPr>
    </w:p>
    <w:p w:rsidR="009F1907" w:rsidRPr="009F1907" w:rsidRDefault="009F1907" w:rsidP="009F1907">
      <w:pPr>
        <w:rPr>
          <w:rFonts w:ascii="Arial" w:hAnsi="Arial" w:cs="Arial"/>
          <w:sz w:val="20"/>
          <w:szCs w:val="20"/>
        </w:rPr>
      </w:pPr>
    </w:p>
    <w:p w:rsidR="009F1907" w:rsidRDefault="009F1907" w:rsidP="009F1907">
      <w:pPr>
        <w:rPr>
          <w:rFonts w:ascii="Arial" w:hAnsi="Arial" w:cs="Arial"/>
          <w:sz w:val="20"/>
          <w:szCs w:val="20"/>
        </w:rPr>
      </w:pPr>
    </w:p>
    <w:p w:rsidR="00402A1B" w:rsidRPr="009F1907" w:rsidRDefault="009F1907" w:rsidP="009F1907">
      <w:pPr>
        <w:tabs>
          <w:tab w:val="left" w:pos="41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02A1B" w:rsidRPr="009F1907" w:rsidSect="002A72F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4670CA">
        <w:separator/>
      </w:r>
    </w:p>
  </w:endnote>
  <w:endnote w:type="continuationSeparator" w:id="0">
    <w:p w:rsidR="00AE42C7" w:rsidRDefault="00AE42C7" w:rsidP="00D36630">
      <w:r w:rsidRPr="004670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07" w:rsidRDefault="009F1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6B523B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6B523B">
      <w:rPr>
        <w:rFonts w:ascii="Calibri" w:hAnsi="Calibri"/>
        <w:sz w:val="16"/>
        <w:szCs w:val="16"/>
      </w:rPr>
      <w:t>© Alberta Education, Canada, 2014</w:t>
    </w:r>
    <w:r w:rsidRPr="006B523B">
      <w:rPr>
        <w:sz w:val="16"/>
        <w:szCs w:val="16"/>
      </w:rPr>
      <w:tab/>
    </w:r>
    <w:r w:rsidRPr="006B523B">
      <w:rPr>
        <w:rFonts w:asciiTheme="minorHAnsi" w:hAnsiTheme="minorHAnsi"/>
        <w:sz w:val="16"/>
        <w:szCs w:val="16"/>
      </w:rPr>
      <w:t xml:space="preserve">Page </w:t>
    </w:r>
    <w:r w:rsidR="00747F0A" w:rsidRPr="006B523B">
      <w:rPr>
        <w:rFonts w:asciiTheme="minorHAnsi" w:hAnsiTheme="minorHAnsi"/>
        <w:bCs/>
        <w:sz w:val="16"/>
        <w:szCs w:val="16"/>
      </w:rPr>
      <w:fldChar w:fldCharType="begin"/>
    </w:r>
    <w:r w:rsidR="00496AD8" w:rsidRPr="006B523B">
      <w:rPr>
        <w:rFonts w:asciiTheme="minorHAnsi" w:hAnsiTheme="minorHAnsi"/>
        <w:bCs/>
        <w:sz w:val="16"/>
        <w:szCs w:val="16"/>
      </w:rPr>
      <w:instrText xml:space="preserve"> PAGE </w:instrText>
    </w:r>
    <w:r w:rsidR="00747F0A" w:rsidRPr="006B523B">
      <w:rPr>
        <w:rFonts w:asciiTheme="minorHAnsi" w:hAnsiTheme="minorHAnsi"/>
        <w:bCs/>
        <w:sz w:val="16"/>
        <w:szCs w:val="16"/>
      </w:rPr>
      <w:fldChar w:fldCharType="separate"/>
    </w:r>
    <w:r w:rsidR="006F1951">
      <w:rPr>
        <w:rFonts w:asciiTheme="minorHAnsi" w:hAnsiTheme="minorHAnsi"/>
        <w:bCs/>
        <w:sz w:val="16"/>
        <w:szCs w:val="16"/>
      </w:rPr>
      <w:t>1</w:t>
    </w:r>
    <w:r w:rsidR="00747F0A" w:rsidRPr="006B523B">
      <w:rPr>
        <w:rFonts w:asciiTheme="minorHAnsi" w:hAnsiTheme="minorHAnsi"/>
        <w:bCs/>
        <w:sz w:val="16"/>
        <w:szCs w:val="16"/>
      </w:rPr>
      <w:fldChar w:fldCharType="end"/>
    </w:r>
    <w:r w:rsidRPr="006B523B">
      <w:rPr>
        <w:rFonts w:asciiTheme="minorHAnsi" w:hAnsiTheme="minorHAnsi"/>
        <w:sz w:val="16"/>
        <w:szCs w:val="16"/>
      </w:rPr>
      <w:t xml:space="preserve"> de </w:t>
    </w:r>
    <w:r w:rsidR="00747F0A" w:rsidRPr="006B523B">
      <w:rPr>
        <w:rFonts w:asciiTheme="minorHAnsi" w:hAnsiTheme="minorHAnsi"/>
        <w:bCs/>
        <w:sz w:val="16"/>
        <w:szCs w:val="16"/>
      </w:rPr>
      <w:fldChar w:fldCharType="begin"/>
    </w:r>
    <w:r w:rsidR="00496AD8" w:rsidRPr="006B523B">
      <w:rPr>
        <w:rFonts w:asciiTheme="minorHAnsi" w:hAnsiTheme="minorHAnsi"/>
        <w:bCs/>
        <w:sz w:val="16"/>
        <w:szCs w:val="16"/>
      </w:rPr>
      <w:instrText xml:space="preserve"> NUMPAGES  </w:instrText>
    </w:r>
    <w:r w:rsidR="00747F0A" w:rsidRPr="006B523B">
      <w:rPr>
        <w:rFonts w:asciiTheme="minorHAnsi" w:hAnsiTheme="minorHAnsi"/>
        <w:bCs/>
        <w:sz w:val="16"/>
        <w:szCs w:val="16"/>
      </w:rPr>
      <w:fldChar w:fldCharType="separate"/>
    </w:r>
    <w:r w:rsidR="006F1951">
      <w:rPr>
        <w:rFonts w:asciiTheme="minorHAnsi" w:hAnsiTheme="minorHAnsi"/>
        <w:bCs/>
        <w:sz w:val="16"/>
        <w:szCs w:val="16"/>
      </w:rPr>
      <w:t>2</w:t>
    </w:r>
    <w:r w:rsidR="00747F0A" w:rsidRPr="006B523B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07" w:rsidRDefault="009F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4670CA">
        <w:separator/>
      </w:r>
    </w:p>
  </w:footnote>
  <w:footnote w:type="continuationSeparator" w:id="0">
    <w:p w:rsidR="00AE42C7" w:rsidRDefault="00AE42C7" w:rsidP="00D36630">
      <w:r w:rsidRPr="004670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6F1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9751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3C" w:rsidRDefault="006F1951" w:rsidP="00053D3C">
    <w:pPr>
      <w:pStyle w:val="Header"/>
      <w:ind w:left="-187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9752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053D3C" w:rsidRPr="00F339EC">
      <w:rPr>
        <w:rFonts w:ascii="Arial" w:hAnsi="Arial" w:cs="Arial"/>
        <w:color w:val="365F91"/>
        <w:sz w:val="40"/>
        <w:szCs w:val="40"/>
        <w:lang w:val="fr-CA"/>
      </w:rPr>
      <w:t>Élaboration d’un</w:t>
    </w:r>
    <w:r w:rsidR="00053D3C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053D3C" w:rsidRPr="00DA5531">
      <w:rPr>
        <w:rFonts w:ascii="Arial" w:hAnsi="Arial" w:cs="Arial"/>
        <w:color w:val="365F91"/>
        <w:sz w:val="40"/>
        <w:szCs w:val="40"/>
        <w:lang w:val="fr-CA"/>
      </w:rPr>
      <w:t>éfi FCT (ébauche)</w:t>
    </w:r>
  </w:p>
  <w:p w:rsidR="00D36630" w:rsidRPr="00602903" w:rsidRDefault="00053D3C" w:rsidP="00053D3C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</w:rPr>
    </w:pPr>
    <w:proofErr w:type="spellStart"/>
    <w:r w:rsidRPr="00053D3C">
      <w:rPr>
        <w:rFonts w:ascii="Arial" w:hAnsi="Arial"/>
        <w:color w:val="365F91"/>
        <w:sz w:val="28"/>
      </w:rPr>
      <w:t>Éliminez</w:t>
    </w:r>
    <w:proofErr w:type="spellEnd"/>
    <w:r w:rsidRPr="00053D3C">
      <w:rPr>
        <w:rFonts w:ascii="Arial" w:hAnsi="Arial"/>
        <w:color w:val="365F91"/>
        <w:sz w:val="28"/>
      </w:rPr>
      <w:t xml:space="preserve"> le gluten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6F1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9750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D4039"/>
    <w:multiLevelType w:val="hybridMultilevel"/>
    <w:tmpl w:val="9A7C3712"/>
    <w:lvl w:ilvl="0" w:tplc="10247CBC">
      <w:numFmt w:val="bullet"/>
      <w:lvlText w:val="–"/>
      <w:lvlJc w:val="left"/>
      <w:pPr>
        <w:ind w:left="1800" w:hanging="360"/>
      </w:pPr>
      <w:rPr>
        <w:rFonts w:asciiTheme="minorHAnsi" w:eastAsia="PMingLiU" w:hAnsiTheme="minorHAnsi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17BAF"/>
    <w:multiLevelType w:val="hybridMultilevel"/>
    <w:tmpl w:val="5A4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B1DF8"/>
    <w:multiLevelType w:val="hybridMultilevel"/>
    <w:tmpl w:val="6FE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A2CF5"/>
    <w:multiLevelType w:val="hybridMultilevel"/>
    <w:tmpl w:val="0290B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E796D"/>
    <w:multiLevelType w:val="hybridMultilevel"/>
    <w:tmpl w:val="462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6">
    <w:nsid w:val="5EE700BA"/>
    <w:multiLevelType w:val="hybridMultilevel"/>
    <w:tmpl w:val="568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31D31"/>
    <w:multiLevelType w:val="hybridMultilevel"/>
    <w:tmpl w:val="4B4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33A62"/>
    <w:multiLevelType w:val="hybridMultilevel"/>
    <w:tmpl w:val="7F1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1"/>
  </w:num>
  <w:num w:numId="4">
    <w:abstractNumId w:val="4"/>
  </w:num>
  <w:num w:numId="5">
    <w:abstractNumId w:val="24"/>
  </w:num>
  <w:num w:numId="6">
    <w:abstractNumId w:val="29"/>
  </w:num>
  <w:num w:numId="7">
    <w:abstractNumId w:val="17"/>
  </w:num>
  <w:num w:numId="8">
    <w:abstractNumId w:val="15"/>
  </w:num>
  <w:num w:numId="9">
    <w:abstractNumId w:val="20"/>
  </w:num>
  <w:num w:numId="10">
    <w:abstractNumId w:val="14"/>
  </w:num>
  <w:num w:numId="11">
    <w:abstractNumId w:val="2"/>
  </w:num>
  <w:num w:numId="12">
    <w:abstractNumId w:val="18"/>
  </w:num>
  <w:num w:numId="13">
    <w:abstractNumId w:val="22"/>
  </w:num>
  <w:num w:numId="14">
    <w:abstractNumId w:val="19"/>
  </w:num>
  <w:num w:numId="15">
    <w:abstractNumId w:val="12"/>
  </w:num>
  <w:num w:numId="16">
    <w:abstractNumId w:val="16"/>
  </w:num>
  <w:num w:numId="17">
    <w:abstractNumId w:val="0"/>
  </w:num>
  <w:num w:numId="18">
    <w:abstractNumId w:val="3"/>
  </w:num>
  <w:num w:numId="19">
    <w:abstractNumId w:val="30"/>
  </w:num>
  <w:num w:numId="20">
    <w:abstractNumId w:val="13"/>
  </w:num>
  <w:num w:numId="21">
    <w:abstractNumId w:val="25"/>
  </w:num>
  <w:num w:numId="22">
    <w:abstractNumId w:val="23"/>
  </w:num>
  <w:num w:numId="23">
    <w:abstractNumId w:val="1"/>
  </w:num>
  <w:num w:numId="24">
    <w:abstractNumId w:val="27"/>
  </w:num>
  <w:num w:numId="25">
    <w:abstractNumId w:val="32"/>
  </w:num>
  <w:num w:numId="26">
    <w:abstractNumId w:val="5"/>
  </w:num>
  <w:num w:numId="27">
    <w:abstractNumId w:val="9"/>
  </w:num>
  <w:num w:numId="28">
    <w:abstractNumId w:val="26"/>
  </w:num>
  <w:num w:numId="29">
    <w:abstractNumId w:val="34"/>
  </w:num>
  <w:num w:numId="30">
    <w:abstractNumId w:val="8"/>
  </w:num>
  <w:num w:numId="31">
    <w:abstractNumId w:val="11"/>
  </w:num>
  <w:num w:numId="32">
    <w:abstractNumId w:val="28"/>
  </w:num>
  <w:num w:numId="33">
    <w:abstractNumId w:val="21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53D3C"/>
    <w:rsid w:val="00064312"/>
    <w:rsid w:val="00073ADF"/>
    <w:rsid w:val="00082B62"/>
    <w:rsid w:val="000831C2"/>
    <w:rsid w:val="000A214C"/>
    <w:rsid w:val="000F398F"/>
    <w:rsid w:val="00106C12"/>
    <w:rsid w:val="00147B5E"/>
    <w:rsid w:val="00155301"/>
    <w:rsid w:val="001B7A85"/>
    <w:rsid w:val="001D5210"/>
    <w:rsid w:val="001E2033"/>
    <w:rsid w:val="001E4D43"/>
    <w:rsid w:val="001F4071"/>
    <w:rsid w:val="002111B0"/>
    <w:rsid w:val="002326CB"/>
    <w:rsid w:val="002354FB"/>
    <w:rsid w:val="002723D7"/>
    <w:rsid w:val="002965BA"/>
    <w:rsid w:val="0029669B"/>
    <w:rsid w:val="002A6C37"/>
    <w:rsid w:val="002A72FC"/>
    <w:rsid w:val="002B6F8A"/>
    <w:rsid w:val="002C3D1B"/>
    <w:rsid w:val="002D5AE5"/>
    <w:rsid w:val="002E59E2"/>
    <w:rsid w:val="002F6621"/>
    <w:rsid w:val="00304331"/>
    <w:rsid w:val="00324688"/>
    <w:rsid w:val="00345DA6"/>
    <w:rsid w:val="00346CDD"/>
    <w:rsid w:val="00347B4C"/>
    <w:rsid w:val="0036038B"/>
    <w:rsid w:val="00373252"/>
    <w:rsid w:val="00382AE8"/>
    <w:rsid w:val="00383C80"/>
    <w:rsid w:val="0039244C"/>
    <w:rsid w:val="003B5380"/>
    <w:rsid w:val="003D214B"/>
    <w:rsid w:val="00402A1B"/>
    <w:rsid w:val="0041669B"/>
    <w:rsid w:val="00431F99"/>
    <w:rsid w:val="004670CA"/>
    <w:rsid w:val="00477C96"/>
    <w:rsid w:val="00496AD8"/>
    <w:rsid w:val="004F4602"/>
    <w:rsid w:val="00515C7E"/>
    <w:rsid w:val="00521D9F"/>
    <w:rsid w:val="005309F8"/>
    <w:rsid w:val="00536CB4"/>
    <w:rsid w:val="005500EF"/>
    <w:rsid w:val="00563B3B"/>
    <w:rsid w:val="00580DFA"/>
    <w:rsid w:val="005A372F"/>
    <w:rsid w:val="005D10B7"/>
    <w:rsid w:val="00602903"/>
    <w:rsid w:val="006175E1"/>
    <w:rsid w:val="00620798"/>
    <w:rsid w:val="0063526A"/>
    <w:rsid w:val="006523DC"/>
    <w:rsid w:val="00675706"/>
    <w:rsid w:val="0069179D"/>
    <w:rsid w:val="006B523B"/>
    <w:rsid w:val="006F1951"/>
    <w:rsid w:val="007157D3"/>
    <w:rsid w:val="00726A90"/>
    <w:rsid w:val="0074344D"/>
    <w:rsid w:val="00747F0A"/>
    <w:rsid w:val="0075445E"/>
    <w:rsid w:val="007763BD"/>
    <w:rsid w:val="00782C35"/>
    <w:rsid w:val="007A270B"/>
    <w:rsid w:val="007A516B"/>
    <w:rsid w:val="007A529D"/>
    <w:rsid w:val="007B0BE3"/>
    <w:rsid w:val="007C1549"/>
    <w:rsid w:val="007D4A4E"/>
    <w:rsid w:val="007F3DFC"/>
    <w:rsid w:val="00804F4E"/>
    <w:rsid w:val="00813D2D"/>
    <w:rsid w:val="008151B7"/>
    <w:rsid w:val="008316DC"/>
    <w:rsid w:val="00833317"/>
    <w:rsid w:val="00850885"/>
    <w:rsid w:val="008726C4"/>
    <w:rsid w:val="00896CAE"/>
    <w:rsid w:val="008A7720"/>
    <w:rsid w:val="008B695E"/>
    <w:rsid w:val="008D44A9"/>
    <w:rsid w:val="008D7207"/>
    <w:rsid w:val="008E4EF7"/>
    <w:rsid w:val="00910DDB"/>
    <w:rsid w:val="00925F12"/>
    <w:rsid w:val="00945AA1"/>
    <w:rsid w:val="00955C1E"/>
    <w:rsid w:val="0099704C"/>
    <w:rsid w:val="009C59D8"/>
    <w:rsid w:val="009F1907"/>
    <w:rsid w:val="00A00370"/>
    <w:rsid w:val="00A1351A"/>
    <w:rsid w:val="00A175D8"/>
    <w:rsid w:val="00A341FE"/>
    <w:rsid w:val="00A34DF9"/>
    <w:rsid w:val="00A403A4"/>
    <w:rsid w:val="00AB0CEE"/>
    <w:rsid w:val="00AB1391"/>
    <w:rsid w:val="00AB17D9"/>
    <w:rsid w:val="00AD0B1A"/>
    <w:rsid w:val="00AE39C1"/>
    <w:rsid w:val="00AE42C7"/>
    <w:rsid w:val="00AE522A"/>
    <w:rsid w:val="00AF2753"/>
    <w:rsid w:val="00B0626A"/>
    <w:rsid w:val="00B13BC7"/>
    <w:rsid w:val="00B57795"/>
    <w:rsid w:val="00BA5889"/>
    <w:rsid w:val="00BC054F"/>
    <w:rsid w:val="00BC128A"/>
    <w:rsid w:val="00BF3054"/>
    <w:rsid w:val="00C03728"/>
    <w:rsid w:val="00C053CD"/>
    <w:rsid w:val="00C07DF5"/>
    <w:rsid w:val="00C4040E"/>
    <w:rsid w:val="00C5739E"/>
    <w:rsid w:val="00C67968"/>
    <w:rsid w:val="00CC1157"/>
    <w:rsid w:val="00CC3F77"/>
    <w:rsid w:val="00CD2100"/>
    <w:rsid w:val="00CE22FE"/>
    <w:rsid w:val="00CE59A3"/>
    <w:rsid w:val="00D04761"/>
    <w:rsid w:val="00D24C14"/>
    <w:rsid w:val="00D31736"/>
    <w:rsid w:val="00D36630"/>
    <w:rsid w:val="00D4561E"/>
    <w:rsid w:val="00D53384"/>
    <w:rsid w:val="00D8495C"/>
    <w:rsid w:val="00D91F76"/>
    <w:rsid w:val="00DA0ED0"/>
    <w:rsid w:val="00DA5531"/>
    <w:rsid w:val="00DC0C0E"/>
    <w:rsid w:val="00DC2A0D"/>
    <w:rsid w:val="00DD3D69"/>
    <w:rsid w:val="00E34879"/>
    <w:rsid w:val="00E34F44"/>
    <w:rsid w:val="00E63A4A"/>
    <w:rsid w:val="00E9217C"/>
    <w:rsid w:val="00E95AD8"/>
    <w:rsid w:val="00EC701D"/>
    <w:rsid w:val="00F05477"/>
    <w:rsid w:val="00F1593C"/>
    <w:rsid w:val="00F21B46"/>
    <w:rsid w:val="00F23299"/>
    <w:rsid w:val="00F339EC"/>
    <w:rsid w:val="00F561D0"/>
    <w:rsid w:val="00F7157F"/>
    <w:rsid w:val="00FA6231"/>
    <w:rsid w:val="00FB396D"/>
    <w:rsid w:val="00FB592C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3C"/>
    <w:pPr>
      <w:outlineLvl w:val="2"/>
    </w:pPr>
    <w:rPr>
      <w:rFonts w:ascii="Calibri" w:hAnsi="Calibri"/>
      <w:b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3C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053D3C"/>
    <w:rPr>
      <w:rFonts w:ascii="Calibri" w:eastAsia="PMingLiU" w:hAnsi="Calibri" w:cs="Times New Roman"/>
      <w:b/>
      <w:sz w:val="28"/>
      <w:szCs w:val="28"/>
      <w:lang w:val="fr-C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3C"/>
    <w:pPr>
      <w:outlineLvl w:val="2"/>
    </w:pPr>
    <w:rPr>
      <w:rFonts w:ascii="Calibri" w:hAnsi="Calibri"/>
      <w:b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3C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053D3C"/>
    <w:rPr>
      <w:rFonts w:ascii="Calibri" w:eastAsia="PMingLiU" w:hAnsi="Calibri" w:cs="Times New Roman"/>
      <w:b/>
      <w:sz w:val="28"/>
      <w:szCs w:val="28"/>
      <w:lang w:val="fr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foodsafe.ca/fr/be-food-safe/" TargetMode="External"/><Relationship Id="rId18" Type="http://schemas.openxmlformats.org/officeDocument/2006/relationships/hyperlink" Target="http://blogue.passeportsante.net/chefnutritionniste/2010/09/comment_utiliser_le_couteau_du.php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vivreenaidant.fr/am%C3%A9nagement/maison/cuisine/la-s%C3%A9curit%C3%A9-dans-la-cuisine-liste-des-situations-%C3%A0-risques-et-solut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abilomedias.ca/jeux/passeport-pour-internet" TargetMode="External"/><Relationship Id="rId17" Type="http://schemas.openxmlformats.org/officeDocument/2006/relationships/hyperlink" Target="https://www.youtube.com/watch?v=JELZvLpCJU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9m8f0fPDi0" TargetMode="External"/><Relationship Id="rId20" Type="http://schemas.openxmlformats.org/officeDocument/2006/relationships/hyperlink" Target="http://www.restaurateurs.ca/?page_id=10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-sc.gc.ca/fn-an/food-guide-aliment/track-suivi/index-fra.php" TargetMode="External"/><Relationship Id="rId24" Type="http://schemas.openxmlformats.org/officeDocument/2006/relationships/hyperlink" Target="http://www.csst.qc.ca/publications/500/Documents/DC_500_114_web1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paq.gouv.qc.ca/fr/Coindesjeunes/MesAliments/Pages/Accueil.aspx" TargetMode="External"/><Relationship Id="rId23" Type="http://schemas.openxmlformats.org/officeDocument/2006/relationships/hyperlink" Target="https://www.youtube.com/watch?v=2GhFOH8xUEo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hc-sc.gc.ca/fn-an/label-etiquet/nutrition/cons/index-fra.php" TargetMode="External"/><Relationship Id="rId19" Type="http://schemas.openxmlformats.org/officeDocument/2006/relationships/hyperlink" Target="http://video.recettes.qc.ca/1750084743001/comment_r_aliser_de_belles_coupes_de_l_gume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c-sc.gc.ca/fn-an/food-guide-aliment/index-fra.php" TargetMode="External"/><Relationship Id="rId14" Type="http://schemas.openxmlformats.org/officeDocument/2006/relationships/hyperlink" Target="http://www.mapaq.gouv.qc.ca/fr/Publications/Guidemanipulateur5.pdf" TargetMode="External"/><Relationship Id="rId22" Type="http://schemas.openxmlformats.org/officeDocument/2006/relationships/hyperlink" Target="http://www.divine.ca/fr/art-de-vivre/articles/c_17_i_3889/conseils-de-securite-dans-la-cuisine-1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619B-E78F-4E4E-8350-B06E9AE2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2014-10-15T17:34:00Z</dcterms:created>
  <dcterms:modified xsi:type="dcterms:W3CDTF">2014-10-15T17:35:00Z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1:01:37 PM</vt:lpwstr>
  </property>
  <property fmtid="{D5CDD505-2E9C-101B-9397-08002B2CF9AE}" pid="3" name="RunPrepV4.3.5">
    <vt:lpwstr>22/09/2014 1:01:38 PM</vt:lpwstr>
  </property>
</Properties>
</file>