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AF" w:rsidRDefault="004C5FAF" w:rsidP="004C5FAF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Sciences 20-4</w:t>
      </w:r>
    </w:p>
    <w:p w:rsidR="004C5FAF" w:rsidRDefault="004C5FAF" w:rsidP="004C5FAF">
      <w:pPr>
        <w:pStyle w:val="NormalWeb"/>
        <w:jc w:val="center"/>
        <w:rPr>
          <w:b/>
          <w:sz w:val="28"/>
          <w:szCs w:val="28"/>
        </w:rPr>
      </w:pPr>
      <w:r w:rsidRPr="00FD5148">
        <w:rPr>
          <w:b/>
          <w:sz w:val="28"/>
          <w:szCs w:val="28"/>
        </w:rPr>
        <w:t>Laboratoire</w:t>
      </w:r>
    </w:p>
    <w:p w:rsidR="004C5FAF" w:rsidRDefault="004C5FAF" w:rsidP="004C5FAF">
      <w:pPr>
        <w:pStyle w:val="NormalWeb"/>
      </w:pPr>
      <w:r>
        <w:t>Titre : LORSQUE DES SUBSTANCES RÉAGISSENT.</w:t>
      </w:r>
    </w:p>
    <w:p w:rsidR="004C5FAF" w:rsidRDefault="004C5FAF" w:rsidP="004C5FAF">
      <w:pPr>
        <w:pStyle w:val="NormalWeb"/>
      </w:pPr>
    </w:p>
    <w:p w:rsidR="004C5FAF" w:rsidRDefault="004C5FAF" w:rsidP="004C5FAF">
      <w:pPr>
        <w:pStyle w:val="NormalWeb"/>
      </w:pPr>
      <w:r>
        <w:t>Pourquoi peut-il être dangereux de mélanger certaines substances?</w:t>
      </w:r>
    </w:p>
    <w:p w:rsidR="004C5FAF" w:rsidRDefault="004C5FAF" w:rsidP="004C5FAF">
      <w:pPr>
        <w:pStyle w:val="NormalWeb"/>
        <w:pBdr>
          <w:top w:val="single" w:sz="12" w:space="1" w:color="auto"/>
          <w:bottom w:val="single" w:sz="12" w:space="1" w:color="auto"/>
        </w:pBdr>
      </w:pPr>
    </w:p>
    <w:p w:rsidR="004C5FAF" w:rsidRPr="00AE2771" w:rsidRDefault="004C5FAF" w:rsidP="004C5FAF">
      <w:pPr>
        <w:pStyle w:val="NormalWeb"/>
        <w:rPr>
          <w:b/>
        </w:rPr>
      </w:pPr>
      <w:r w:rsidRPr="00AE2771">
        <w:rPr>
          <w:b/>
        </w:rPr>
        <w:t>Matériel 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 xml:space="preserve">une </w:t>
      </w:r>
      <w:proofErr w:type="spellStart"/>
      <w:r>
        <w:t>boîte</w:t>
      </w:r>
      <w:proofErr w:type="spellEnd"/>
      <w:r>
        <w:t xml:space="preserve"> de pellicule photographique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une balance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une cuillère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un cylindre gradué de 50 ml</w:t>
      </w:r>
    </w:p>
    <w:p w:rsidR="004C5FAF" w:rsidRPr="00134CE6" w:rsidRDefault="004C5FAF" w:rsidP="004C5FAF">
      <w:pPr>
        <w:pStyle w:val="NormalWeb"/>
        <w:numPr>
          <w:ilvl w:val="0"/>
          <w:numId w:val="1"/>
        </w:numPr>
        <w:rPr>
          <w:b/>
        </w:rPr>
      </w:pPr>
      <w:r w:rsidRPr="00134CE6">
        <w:rPr>
          <w:b/>
        </w:rPr>
        <w:t>sac en plastique</w:t>
      </w:r>
    </w:p>
    <w:p w:rsidR="004C5FAF" w:rsidRPr="00AE2771" w:rsidRDefault="004C5FAF" w:rsidP="004C5FAF">
      <w:pPr>
        <w:pStyle w:val="NormalWeb"/>
        <w:rPr>
          <w:b/>
        </w:rPr>
      </w:pPr>
      <w:r w:rsidRPr="00AE2771">
        <w:rPr>
          <w:b/>
        </w:rPr>
        <w:t>Matériel non réutilisable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du chlorure de calcium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du rouge de phénol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un sac de congélation</w:t>
      </w:r>
    </w:p>
    <w:p w:rsidR="004C5FAF" w:rsidRDefault="004C5FAF" w:rsidP="004C5FAF">
      <w:pPr>
        <w:pStyle w:val="NormalWeb"/>
        <w:numPr>
          <w:ilvl w:val="0"/>
          <w:numId w:val="1"/>
        </w:numPr>
      </w:pPr>
      <w:r>
        <w:t>du bicarbonate de sodium</w:t>
      </w:r>
    </w:p>
    <w:p w:rsidR="004C5FAF" w:rsidRPr="00AE2771" w:rsidRDefault="004C5FAF" w:rsidP="004C5F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</w:pPr>
      <w:r w:rsidRPr="00AE2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Déroulement</w:t>
      </w:r>
    </w:p>
    <w:p w:rsidR="004C5FAF" w:rsidRPr="00AE2771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 w:rsidRPr="00AE2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Dépose 5 g de chlorure de calcium et 2 g de bicarbonate de sodium à intérieur du </w:t>
      </w:r>
      <w:r w:rsidRPr="00134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sac de plastique</w:t>
      </w:r>
      <w:r w:rsidRPr="00AE2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.</w:t>
      </w:r>
    </w:p>
    <w:p w:rsidR="004C5FAF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 w:rsidRPr="00AE2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Verse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5 ml de rouge de phénol à l’intérieur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boîte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de pellicule photographie.</w:t>
      </w:r>
    </w:p>
    <w:p w:rsidR="004C5FAF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Ajoute 5 ml d’eau et scelle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boîte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de pellicule photographie.</w:t>
      </w:r>
    </w:p>
    <w:p w:rsidR="004C5FAF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Place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boîte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à l’intérieur du sac. Expulse du sac le plus d’air possible, puis scelle-le.</w:t>
      </w:r>
    </w:p>
    <w:p w:rsidR="004C5FAF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En gardant les mains hors du sac, retire soigneusement le couvercle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boîte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de pellicule photographie.</w:t>
      </w:r>
    </w:p>
    <w:p w:rsidR="004C5FAF" w:rsidRDefault="004C5FAF" w:rsidP="004C5FA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Mélange le liquide et la poudre</w:t>
      </w:r>
    </w:p>
    <w:p w:rsidR="004C5FAF" w:rsidRDefault="004C5FAF" w:rsidP="004C5FAF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</w:p>
    <w:p w:rsidR="004C5FAF" w:rsidRDefault="004C5FAF" w:rsidP="004C5FAF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</w:p>
    <w:p w:rsidR="004C5FAF" w:rsidRDefault="004C5FAF" w:rsidP="004C5FAF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</w:p>
    <w:p w:rsidR="004C5FAF" w:rsidRDefault="004C5FAF" w:rsidP="004C5FAF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443"/>
        <w:gridCol w:w="2209"/>
        <w:gridCol w:w="2126"/>
        <w:gridCol w:w="3002"/>
      </w:tblGrid>
      <w:tr w:rsidR="004C5FAF" w:rsidTr="00296989">
        <w:trPr>
          <w:trHeight w:val="746"/>
        </w:trPr>
        <w:tc>
          <w:tcPr>
            <w:tcW w:w="1443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jc w:val="center"/>
            </w:pPr>
            <w:r>
              <w:rPr>
                <w:rStyle w:val="lev"/>
              </w:rPr>
              <w:lastRenderedPageBreak/>
              <w:t>Substance</w:t>
            </w:r>
          </w:p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209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jc w:val="center"/>
            </w:pPr>
            <w:r>
              <w:rPr>
                <w:rStyle w:val="lev"/>
              </w:rPr>
              <w:t>Aspect au début de l’activité</w:t>
            </w:r>
          </w:p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jc w:val="center"/>
              <w:rPr>
                <w:bCs/>
              </w:rPr>
            </w:pPr>
            <w:r>
              <w:rPr>
                <w:rStyle w:val="lev"/>
              </w:rPr>
              <w:t>Aspect à la fin de l’activité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jc w:val="center"/>
            </w:pPr>
            <w:r>
              <w:rPr>
                <w:rStyle w:val="lev"/>
              </w:rPr>
              <w:t>Autres résultats observés</w:t>
            </w:r>
          </w:p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</w:tr>
      <w:tr w:rsidR="004C5FAF" w:rsidTr="00296989">
        <w:tc>
          <w:tcPr>
            <w:tcW w:w="1443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rPr>
                <w:rStyle w:val="lev"/>
              </w:rPr>
            </w:pPr>
            <w:r>
              <w:rPr>
                <w:rStyle w:val="lev"/>
              </w:rPr>
              <w:t>chlorure de calcium</w:t>
            </w:r>
          </w:p>
          <w:p w:rsidR="004C5FAF" w:rsidRPr="00FB1963" w:rsidRDefault="004C5FAF" w:rsidP="00296989">
            <w:pPr>
              <w:pStyle w:val="NormalWeb"/>
            </w:pPr>
          </w:p>
        </w:tc>
        <w:tc>
          <w:tcPr>
            <w:tcW w:w="2209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002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</w:tr>
      <w:tr w:rsidR="004C5FAF" w:rsidTr="00296989">
        <w:tc>
          <w:tcPr>
            <w:tcW w:w="1443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rPr>
                <w:rStyle w:val="lev"/>
              </w:rPr>
            </w:pPr>
            <w:r>
              <w:rPr>
                <w:rStyle w:val="lev"/>
              </w:rPr>
              <w:t>bicarbonate de sodium</w:t>
            </w:r>
          </w:p>
          <w:p w:rsidR="004C5FAF" w:rsidRPr="00FB1963" w:rsidRDefault="004C5FAF" w:rsidP="00296989">
            <w:pPr>
              <w:pStyle w:val="NormalWeb"/>
            </w:pPr>
          </w:p>
        </w:tc>
        <w:tc>
          <w:tcPr>
            <w:tcW w:w="2209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002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</w:tr>
      <w:tr w:rsidR="004C5FAF" w:rsidTr="00296989">
        <w:tc>
          <w:tcPr>
            <w:tcW w:w="1443" w:type="dxa"/>
            <w:shd w:val="clear" w:color="auto" w:fill="F2F2F2" w:themeFill="background1" w:themeFillShade="F2"/>
          </w:tcPr>
          <w:p w:rsidR="004C5FAF" w:rsidRDefault="004C5FAF" w:rsidP="00296989">
            <w:pPr>
              <w:pStyle w:val="NormalWeb"/>
              <w:rPr>
                <w:rStyle w:val="lev"/>
              </w:rPr>
            </w:pPr>
            <w:r>
              <w:rPr>
                <w:rStyle w:val="lev"/>
              </w:rPr>
              <w:t>rouge de phénol</w:t>
            </w:r>
          </w:p>
          <w:p w:rsidR="004C5FAF" w:rsidRDefault="004C5FAF" w:rsidP="00296989">
            <w:pPr>
              <w:pStyle w:val="NormalWeb"/>
              <w:rPr>
                <w:rStyle w:val="lev"/>
              </w:rPr>
            </w:pPr>
          </w:p>
          <w:p w:rsidR="004C5FAF" w:rsidRDefault="004C5FAF" w:rsidP="00296989">
            <w:pPr>
              <w:pStyle w:val="NormalWeb"/>
              <w:rPr>
                <w:rStyle w:val="lev"/>
              </w:rPr>
            </w:pPr>
          </w:p>
        </w:tc>
        <w:tc>
          <w:tcPr>
            <w:tcW w:w="2209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002" w:type="dxa"/>
          </w:tcPr>
          <w:p w:rsidR="004C5FAF" w:rsidRDefault="004C5FAF" w:rsidP="00296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CA"/>
              </w:rPr>
            </w:pPr>
          </w:p>
        </w:tc>
      </w:tr>
    </w:tbl>
    <w:p w:rsidR="004C5FAF" w:rsidRPr="00B93F1D" w:rsidRDefault="004C5FAF" w:rsidP="004C5FAF">
      <w:pPr>
        <w:pStyle w:val="NormalWeb"/>
        <w:rPr>
          <w:sz w:val="28"/>
          <w:szCs w:val="28"/>
        </w:rPr>
      </w:pPr>
      <w:r w:rsidRPr="00B93F1D">
        <w:rPr>
          <w:sz w:val="28"/>
          <w:szCs w:val="28"/>
        </w:rPr>
        <w:t xml:space="preserve">Lis les observations ci-dessus, puis réponds aux questions suivantes. </w:t>
      </w:r>
    </w:p>
    <w:p w:rsidR="004C5FAF" w:rsidRDefault="004C5FAF" w:rsidP="004C5FA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Pourquoi le rouge de phénol et l’eau ont-ils été versés à l’intérieur d’une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boîte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de pellicule photographique qui a été ensuite scellée avant d’être placée dans un sac de plastique.</w:t>
      </w:r>
    </w:p>
    <w:p w:rsidR="004C5FAF" w:rsidRPr="001141AE" w:rsidRDefault="004C5FAF" w:rsidP="004C5FA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CA"/>
        </w:rPr>
      </w:pPr>
      <w:r w:rsidRPr="001141A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CA"/>
        </w:rPr>
        <w:t xml:space="preserve">Réponse : </w:t>
      </w:r>
      <w:r w:rsidRPr="001141A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fr-CA"/>
        </w:rPr>
        <w:t>afin d’empêcher toute réaction chimique avec d’autres produits avant que le sac ne soit scellé.</w:t>
      </w:r>
    </w:p>
    <w:p w:rsidR="004C5FAF" w:rsidRDefault="004C5FAF" w:rsidP="004C5FA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Pourquoi le chlorure de calcium et le bicarbonate de sodium n’ont-ils pas été gardés séparément? Selon la 1</w:t>
      </w:r>
      <w:r w:rsidRPr="00B93F1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fr-CA"/>
        </w:rPr>
        <w:t>ère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 xml:space="preserve"> étape de la section ce que tu dois faire, tu dois placer les deux produits chimiques dans le sac de plastique</w:t>
      </w:r>
    </w:p>
    <w:p w:rsidR="004C5FAF" w:rsidRPr="001141AE" w:rsidRDefault="004C5FAF" w:rsidP="004C5FA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Réponse </w:t>
      </w:r>
      <w:r w:rsidRPr="001141AE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fr-CA"/>
        </w:rPr>
        <w:t>: sont des produits solides qui ne réagissent pas avant d’être mélangé avec de l’eau.</w:t>
      </w:r>
    </w:p>
    <w:p w:rsidR="004C5FAF" w:rsidRPr="009C3837" w:rsidRDefault="004C5FAF" w:rsidP="004C5FA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Pourquoi cette réaction chimique a-t-elle été réalisée à l’intérieur d’un sac de plastique scellé?</w:t>
      </w:r>
    </w:p>
    <w:p w:rsidR="004C5FAF" w:rsidRPr="009C3837" w:rsidRDefault="004C5FAF" w:rsidP="004C5FA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fr-CA"/>
        </w:rPr>
      </w:pPr>
      <w:r w:rsidRPr="009C383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fr-CA"/>
        </w:rPr>
        <w:t>Réponse : la réaction produit un gaz qui pourrait être dangereux</w:t>
      </w:r>
    </w:p>
    <w:p w:rsidR="006442CF" w:rsidRPr="004C5FAF" w:rsidRDefault="004C5FAF" w:rsidP="004C5FA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CA"/>
        </w:rPr>
        <w:t>Quels changements de couleur ont été observés? Comment expliques-tu ces changements?</w:t>
      </w:r>
      <w:bookmarkStart w:id="0" w:name="_GoBack"/>
      <w:bookmarkEnd w:id="0"/>
    </w:p>
    <w:sectPr w:rsidR="006442CF" w:rsidRPr="004C5FA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52" w:rsidRDefault="00381752" w:rsidP="00DA6FA6">
      <w:pPr>
        <w:spacing w:after="0" w:line="240" w:lineRule="auto"/>
      </w:pPr>
      <w:r>
        <w:separator/>
      </w:r>
    </w:p>
  </w:endnote>
  <w:endnote w:type="continuationSeparator" w:id="0">
    <w:p w:rsidR="00381752" w:rsidRDefault="00381752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fr-FR" w:eastAsia="fr-FR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C5FAF" w:rsidRPr="004C5FAF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52" w:rsidRDefault="00381752" w:rsidP="00DA6FA6">
      <w:pPr>
        <w:spacing w:after="0" w:line="240" w:lineRule="auto"/>
      </w:pPr>
      <w:r>
        <w:separator/>
      </w:r>
    </w:p>
  </w:footnote>
  <w:footnote w:type="continuationSeparator" w:id="0">
    <w:p w:rsidR="00381752" w:rsidRDefault="00381752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fr-FR" w:eastAsia="fr-FR"/>
      </w:rPr>
      <w:drawing>
        <wp:anchor distT="0" distB="0" distL="114300" distR="114300" simplePos="0" relativeHeight="251661312" behindDoc="1" locked="0" layoutInCell="1" allowOverlap="1" wp14:anchorId="1398DB39" wp14:editId="6A1ECEC1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4C5FAF">
      <w:rPr>
        <w:b/>
        <w:color w:val="0070C0"/>
        <w:sz w:val="28"/>
        <w:szCs w:val="32"/>
      </w:rPr>
      <w:t xml:space="preserve">Sciences 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6FB2"/>
    <w:multiLevelType w:val="hybridMultilevel"/>
    <w:tmpl w:val="DB90B5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687"/>
    <w:multiLevelType w:val="hybridMultilevel"/>
    <w:tmpl w:val="E9EA56FE"/>
    <w:lvl w:ilvl="0" w:tplc="6ADCD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5337E"/>
    <w:multiLevelType w:val="hybridMultilevel"/>
    <w:tmpl w:val="FB9ADC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4C5FAF"/>
    <w:rsid w:val="006442CF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4C5FAF"/>
    <w:rPr>
      <w:b/>
      <w:bCs/>
    </w:rPr>
  </w:style>
  <w:style w:type="paragraph" w:styleId="Paragraphedeliste">
    <w:name w:val="List Paragraph"/>
    <w:basedOn w:val="Normal"/>
    <w:uiPriority w:val="34"/>
    <w:qFormat/>
    <w:rsid w:val="004C5FAF"/>
    <w:pPr>
      <w:ind w:left="720"/>
      <w:contextualSpacing/>
    </w:pPr>
  </w:style>
  <w:style w:type="table" w:styleId="Grille">
    <w:name w:val="Table Grid"/>
    <w:basedOn w:val="TableauNormal"/>
    <w:rsid w:val="004C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4C5FAF"/>
    <w:rPr>
      <w:b/>
      <w:bCs/>
    </w:rPr>
  </w:style>
  <w:style w:type="paragraph" w:styleId="Paragraphedeliste">
    <w:name w:val="List Paragraph"/>
    <w:basedOn w:val="Normal"/>
    <w:uiPriority w:val="34"/>
    <w:qFormat/>
    <w:rsid w:val="004C5FAF"/>
    <w:pPr>
      <w:ind w:left="720"/>
      <w:contextualSpacing/>
    </w:pPr>
  </w:style>
  <w:style w:type="table" w:styleId="Grille">
    <w:name w:val="Table Grid"/>
    <w:basedOn w:val="TableauNormal"/>
    <w:rsid w:val="004C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CSSA CSSA</cp:lastModifiedBy>
  <cp:revision>2</cp:revision>
  <dcterms:created xsi:type="dcterms:W3CDTF">2012-02-07T21:14:00Z</dcterms:created>
  <dcterms:modified xsi:type="dcterms:W3CDTF">2012-02-07T21:14:00Z</dcterms:modified>
</cp:coreProperties>
</file>