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7" w:rsidRPr="007262D7" w:rsidRDefault="007262D7" w:rsidP="001A1E4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CA"/>
        </w:rPr>
      </w:pPr>
      <w:r w:rsidRPr="007262D7">
        <w:rPr>
          <w:rFonts w:eastAsia="Times New Roman" w:cstheme="minorHAnsi"/>
          <w:b/>
          <w:sz w:val="20"/>
          <w:szCs w:val="20"/>
          <w:lang w:eastAsia="fr-CA"/>
        </w:rPr>
        <w:t>Scénario illustratif d’inclusion en PREMIÈRE ANNÉE</w:t>
      </w:r>
      <w:r w:rsidR="001A1E42" w:rsidRPr="001A1E42">
        <w:rPr>
          <w:rFonts w:eastAsia="Times New Roman" w:cstheme="minorHAnsi"/>
          <w:b/>
          <w:sz w:val="20"/>
          <w:szCs w:val="20"/>
          <w:lang w:eastAsia="fr-CA"/>
        </w:rPr>
        <w:t> :</w:t>
      </w:r>
      <w:r w:rsidRPr="007262D7">
        <w:rPr>
          <w:rFonts w:eastAsia="Times New Roman" w:cstheme="minorHAnsi"/>
          <w:b/>
          <w:sz w:val="20"/>
          <w:szCs w:val="20"/>
          <w:lang w:eastAsia="fr-CA"/>
        </w:rPr>
        <w:t xml:space="preserve"> </w:t>
      </w:r>
      <w:r w:rsidRPr="001A1E42">
        <w:rPr>
          <w:rFonts w:eastAsia="Times New Roman" w:cstheme="minorHAnsi"/>
          <w:b/>
          <w:sz w:val="20"/>
          <w:szCs w:val="20"/>
          <w:lang w:eastAsia="fr-CA"/>
        </w:rPr>
        <w:t>Marc</w:t>
      </w:r>
    </w:p>
    <w:p w:rsidR="00A47E58" w:rsidRPr="001A1E42" w:rsidRDefault="00A47E58" w:rsidP="007262D7">
      <w:pPr>
        <w:spacing w:after="0" w:line="240" w:lineRule="auto"/>
        <w:rPr>
          <w:rFonts w:eastAsia="Times New Roman" w:cstheme="minorHAnsi"/>
          <w:sz w:val="20"/>
          <w:szCs w:val="20"/>
          <w:lang w:eastAsia="fr-CA"/>
        </w:rPr>
      </w:pPr>
    </w:p>
    <w:p w:rsidR="007262D7" w:rsidRPr="001A1E42" w:rsidRDefault="007262D7" w:rsidP="007262D7">
      <w:pPr>
        <w:spacing w:after="0" w:line="240" w:lineRule="auto"/>
        <w:rPr>
          <w:rFonts w:eastAsia="Times New Roman" w:cstheme="minorHAnsi"/>
          <w:sz w:val="20"/>
          <w:szCs w:val="20"/>
          <w:lang w:eastAsia="fr-CA"/>
        </w:rPr>
      </w:pPr>
      <w:r w:rsidRPr="007262D7">
        <w:rPr>
          <w:rFonts w:eastAsia="Times New Roman" w:cstheme="minorHAnsi"/>
          <w:sz w:val="20"/>
          <w:szCs w:val="20"/>
          <w:lang w:eastAsia="fr-CA"/>
        </w:rPr>
        <w:t xml:space="preserve">Madame Lise enseigne en première année. Il y a dix-sept élèves dans sa classe, dont dix filles et sept garçons. Un des garçons a un trouble sévère du langage. Voici un portrait synthèse de cet élève. </w:t>
      </w:r>
    </w:p>
    <w:p w:rsidR="007262D7" w:rsidRPr="007262D7" w:rsidRDefault="007262D7" w:rsidP="007262D7">
      <w:pPr>
        <w:spacing w:after="0" w:line="240" w:lineRule="auto"/>
        <w:rPr>
          <w:rFonts w:eastAsia="Times New Roman" w:cstheme="minorHAnsi"/>
          <w:sz w:val="20"/>
          <w:szCs w:val="20"/>
          <w:lang w:eastAsia="fr-CA"/>
        </w:rPr>
      </w:pPr>
    </w:p>
    <w:p w:rsidR="007262D7" w:rsidRPr="007262D7" w:rsidRDefault="007262D7" w:rsidP="00A47E5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fr-CA"/>
        </w:rPr>
      </w:pPr>
      <w:r w:rsidRPr="007262D7">
        <w:rPr>
          <w:rFonts w:eastAsia="Times New Roman" w:cstheme="minorHAnsi"/>
          <w:b/>
          <w:sz w:val="20"/>
          <w:szCs w:val="20"/>
          <w:u w:val="single"/>
          <w:lang w:eastAsia="fr-CA"/>
        </w:rPr>
        <w:t>Portrait de Marc</w:t>
      </w:r>
    </w:p>
    <w:p w:rsidR="007262D7" w:rsidRPr="001A1E42" w:rsidRDefault="007262D7" w:rsidP="007262D7">
      <w:pPr>
        <w:spacing w:after="0" w:line="240" w:lineRule="auto"/>
        <w:rPr>
          <w:rFonts w:eastAsia="Times New Roman" w:cstheme="minorHAnsi"/>
          <w:sz w:val="20"/>
          <w:szCs w:val="20"/>
          <w:lang w:eastAsia="fr-CA"/>
        </w:rPr>
      </w:pPr>
      <w:r w:rsidRPr="007262D7">
        <w:rPr>
          <w:rFonts w:eastAsia="Times New Roman" w:cstheme="minorHAnsi"/>
          <w:sz w:val="20"/>
          <w:szCs w:val="20"/>
          <w:lang w:eastAsia="fr-CA"/>
        </w:rPr>
        <w:t xml:space="preserve">Marc a fait sa maternelle à la même école qu’il fréquente maintenant. Ses parents se sont </w:t>
      </w:r>
      <w:r w:rsidR="001A1E42" w:rsidRPr="001A1E42">
        <w:rPr>
          <w:rFonts w:eastAsia="Times New Roman" w:cstheme="minorHAnsi"/>
          <w:sz w:val="20"/>
          <w:szCs w:val="20"/>
          <w:lang w:eastAsia="fr-CA"/>
        </w:rPr>
        <w:t>rendu</w:t>
      </w:r>
      <w:r w:rsidRPr="007262D7">
        <w:rPr>
          <w:rFonts w:eastAsia="Times New Roman" w:cstheme="minorHAnsi"/>
          <w:sz w:val="20"/>
          <w:szCs w:val="20"/>
          <w:lang w:eastAsia="fr-CA"/>
        </w:rPr>
        <w:t xml:space="preserve"> compte qu’il ne s’exprimait pas clairement en anglais. À deux ans, il parlait peu. Marc</w:t>
      </w:r>
      <w:r w:rsidRPr="001A1E42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Pr="007262D7">
        <w:rPr>
          <w:rFonts w:eastAsia="Times New Roman" w:cstheme="minorHAnsi"/>
          <w:sz w:val="20"/>
          <w:szCs w:val="20"/>
          <w:lang w:eastAsia="fr-CA"/>
        </w:rPr>
        <w:t>a commencé un programme de thérapie avec une orthophoniste à l’âge de trois ans et demi. En première année, Marc</w:t>
      </w:r>
      <w:r w:rsidRPr="001A1E42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Pr="007262D7">
        <w:rPr>
          <w:rFonts w:eastAsia="Times New Roman" w:cstheme="minorHAnsi"/>
          <w:sz w:val="20"/>
          <w:szCs w:val="20"/>
          <w:lang w:eastAsia="fr-CA"/>
        </w:rPr>
        <w:t>a de la difficulté à apprendre l’alphabet et à faire le lien entre les sons et les lettres. Il inverse les sons et l’ordre des lettres fréquemment en parlant. Il ne comprend pas toujours les questions posées et a de la difficulté à suivre les directives données oralement. À un test d’intelligence, le résultat de la partie orale est considérablement plus faible que l’autre partie. Marie, une aide-élève, travaille avec Marc</w:t>
      </w:r>
      <w:r w:rsidRPr="001A1E42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Pr="007262D7">
        <w:rPr>
          <w:rFonts w:eastAsia="Times New Roman" w:cstheme="minorHAnsi"/>
          <w:sz w:val="20"/>
          <w:szCs w:val="20"/>
          <w:lang w:eastAsia="fr-CA"/>
        </w:rPr>
        <w:t>une heure et demie chaque jour. Marc</w:t>
      </w:r>
      <w:r w:rsidRPr="001A1E42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Pr="007262D7">
        <w:rPr>
          <w:rFonts w:eastAsia="Times New Roman" w:cstheme="minorHAnsi"/>
          <w:sz w:val="20"/>
          <w:szCs w:val="20"/>
          <w:lang w:eastAsia="fr-CA"/>
        </w:rPr>
        <w:t xml:space="preserve">joue bien avec les autres garçons de la classe, car les jeux sont plutôt actifs et ne reposent pas sur des échanges langagiers. </w:t>
      </w:r>
    </w:p>
    <w:p w:rsidR="00A47E58" w:rsidRPr="001A1E42" w:rsidRDefault="00A47E58" w:rsidP="007262D7">
      <w:pPr>
        <w:spacing w:after="0" w:line="240" w:lineRule="auto"/>
        <w:rPr>
          <w:rFonts w:eastAsia="Times New Roman" w:cstheme="minorHAnsi"/>
          <w:sz w:val="20"/>
          <w:szCs w:val="20"/>
          <w:lang w:eastAsia="fr-CA"/>
        </w:rPr>
      </w:pPr>
    </w:p>
    <w:tbl>
      <w:tblPr>
        <w:tblW w:w="13586" w:type="dxa"/>
        <w:tblInd w:w="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3"/>
        <w:gridCol w:w="6793"/>
      </w:tblGrid>
      <w:tr w:rsidR="00A47E58" w:rsidRPr="001A1E42" w:rsidTr="001A1E42">
        <w:trPr>
          <w:trHeight w:val="377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A47E58" w:rsidP="001A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b/>
                <w:bCs/>
                <w:sz w:val="20"/>
                <w:szCs w:val="20"/>
              </w:rPr>
              <w:t>Ses forces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A47E58" w:rsidP="001A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b/>
                <w:bCs/>
                <w:sz w:val="20"/>
                <w:szCs w:val="20"/>
              </w:rPr>
              <w:t>Ses défis</w:t>
            </w:r>
          </w:p>
        </w:tc>
      </w:tr>
      <w:tr w:rsidR="00A47E58" w:rsidRPr="001A1E42" w:rsidTr="001A1E42">
        <w:trPr>
          <w:trHeight w:val="470"/>
        </w:trPr>
        <w:tc>
          <w:tcPr>
            <w:tcW w:w="679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Il a une bonne coordination motrice.</w:t>
            </w:r>
          </w:p>
        </w:tc>
        <w:tc>
          <w:tcPr>
            <w:tcW w:w="67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Suivre des directives.</w:t>
            </w:r>
          </w:p>
        </w:tc>
      </w:tr>
      <w:tr w:rsidR="00A47E58" w:rsidRPr="001A1E42" w:rsidTr="001A1E42">
        <w:trPr>
          <w:trHeight w:val="503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Il est accepté par ses pairs.</w:t>
            </w: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Produire certains sons.</w:t>
            </w:r>
          </w:p>
        </w:tc>
      </w:tr>
      <w:tr w:rsidR="00A47E58" w:rsidRPr="001A1E42" w:rsidTr="001A1E42">
        <w:trPr>
          <w:trHeight w:val="494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Il est un bon joueur de soccer.</w:t>
            </w: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Comprendre les questions.</w:t>
            </w:r>
          </w:p>
        </w:tc>
      </w:tr>
      <w:tr w:rsidR="00A47E58" w:rsidRPr="001A1E42" w:rsidTr="001A1E42">
        <w:trPr>
          <w:trHeight w:val="455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Il patine bien et court vite.</w:t>
            </w: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Apprendre l’alphabet.</w:t>
            </w:r>
          </w:p>
        </w:tc>
      </w:tr>
      <w:tr w:rsidR="00A47E58" w:rsidRPr="001A1E42" w:rsidTr="001A1E42">
        <w:trPr>
          <w:trHeight w:val="435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A47E58" w:rsidP="001A1E4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E58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Identifier les sons qui correspondent aux lettres.</w:t>
            </w:r>
          </w:p>
        </w:tc>
      </w:tr>
      <w:tr w:rsidR="008341B7" w:rsidRPr="001A1E42" w:rsidTr="001A1E42">
        <w:trPr>
          <w:trHeight w:val="435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1B7" w:rsidRPr="001A1E42" w:rsidRDefault="008341B7" w:rsidP="001A1E4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1B7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Prononcer les lettres et les sons d’un mot dans l’ordre.</w:t>
            </w:r>
          </w:p>
        </w:tc>
      </w:tr>
      <w:tr w:rsidR="008341B7" w:rsidRPr="001A1E42" w:rsidTr="001A1E42">
        <w:trPr>
          <w:trHeight w:val="435"/>
        </w:trPr>
        <w:tc>
          <w:tcPr>
            <w:tcW w:w="67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1B7" w:rsidRPr="001A1E42" w:rsidRDefault="008341B7" w:rsidP="001A1E4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1B7" w:rsidRPr="001A1E42" w:rsidRDefault="008341B7" w:rsidP="001A1E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1E42">
              <w:rPr>
                <w:rFonts w:cstheme="minorHAnsi"/>
                <w:sz w:val="20"/>
                <w:szCs w:val="20"/>
              </w:rPr>
              <w:t>Apprendre de nouveaux mots de vocabulaire.</w:t>
            </w:r>
          </w:p>
        </w:tc>
      </w:tr>
    </w:tbl>
    <w:bookmarkStart w:id="0" w:name="_GoBack"/>
    <w:p w:rsidR="008B7F90" w:rsidRPr="007262D7" w:rsidRDefault="00C916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"http://www.education.alberta.ca/media/720116/inclusionweb.pdf"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Style w:val="Lienhypertexte"/>
          <w:rFonts w:cstheme="minorHAnsi"/>
          <w:sz w:val="24"/>
          <w:szCs w:val="24"/>
        </w:rPr>
        <w:t>Inclusion en immersion - Guide de différenciation pédagogique pour répondre à divers besoins d'apprentissage</w:t>
      </w:r>
      <w:r>
        <w:rPr>
          <w:rFonts w:cstheme="minorHAnsi"/>
          <w:sz w:val="24"/>
          <w:szCs w:val="24"/>
        </w:rPr>
        <w:fldChar w:fldCharType="end"/>
      </w:r>
      <w:bookmarkEnd w:id="0"/>
    </w:p>
    <w:sectPr w:rsidR="008B7F90" w:rsidRPr="007262D7" w:rsidSect="007262D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36"/>
    <w:multiLevelType w:val="hybridMultilevel"/>
    <w:tmpl w:val="064265DE"/>
    <w:lvl w:ilvl="0" w:tplc="81F2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C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E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8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7"/>
    <w:rsid w:val="001A1E42"/>
    <w:rsid w:val="004A0F4E"/>
    <w:rsid w:val="007262D7"/>
    <w:rsid w:val="008341B7"/>
    <w:rsid w:val="008B7F90"/>
    <w:rsid w:val="00A47E58"/>
    <w:rsid w:val="00C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E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E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2014-10-24T22:26:00Z</dcterms:created>
  <dcterms:modified xsi:type="dcterms:W3CDTF">2014-10-25T01:30:00Z</dcterms:modified>
</cp:coreProperties>
</file>