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FD3" w:rsidRDefault="0049324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Piet </w:t>
      </w:r>
      <w:r w:rsidR="00E6188A" w:rsidRPr="00E6188A">
        <w:rPr>
          <w:b/>
          <w:sz w:val="40"/>
          <w:szCs w:val="40"/>
        </w:rPr>
        <w:t>Mondrian</w:t>
      </w:r>
      <w:r>
        <w:rPr>
          <w:b/>
          <w:sz w:val="40"/>
          <w:szCs w:val="40"/>
        </w:rPr>
        <w:t xml:space="preserve"> - 1872 - </w:t>
      </w:r>
      <w:r w:rsidRPr="0049324E">
        <w:rPr>
          <w:b/>
          <w:sz w:val="40"/>
          <w:szCs w:val="40"/>
        </w:rPr>
        <w:t>1944</w:t>
      </w:r>
    </w:p>
    <w:p w:rsidR="00E6188A" w:rsidRDefault="00E6188A">
      <w:r w:rsidRPr="00E6188A">
        <w:t>L’influence de Piet Mondrian se fait sentir depuis les années 1960 dans différents domaines de l’</w:t>
      </w:r>
      <w:r w:rsidR="0049324E">
        <w:t>art, du des</w:t>
      </w:r>
      <w:r w:rsidR="0049324E" w:rsidRPr="00E6188A">
        <w:t>ign</w:t>
      </w:r>
      <w:r w:rsidRPr="00E6188A">
        <w:t xml:space="preserve">, de la mode. </w:t>
      </w:r>
      <w:r w:rsidR="0049324E" w:rsidRPr="0049324E">
        <w:t xml:space="preserve">Piet Mondrian, de son vrai nom Pieter </w:t>
      </w:r>
      <w:proofErr w:type="spellStart"/>
      <w:r w:rsidR="0049324E" w:rsidRPr="0049324E">
        <w:t>Mondriaan</w:t>
      </w:r>
      <w:proofErr w:type="spellEnd"/>
      <w:r w:rsidR="0049324E" w:rsidRPr="0049324E">
        <w:t xml:space="preserve"> est un peintre néerlandais, né dans la deuxième partie du XIXème siècle et mort en 1944 </w:t>
      </w:r>
      <w:r w:rsidR="00681397">
        <w:t>à New-York</w:t>
      </w:r>
      <w:r w:rsidR="0049324E" w:rsidRPr="0049324E">
        <w:t xml:space="preserve">. Il est aujourd’hui considéré comme un pilier de l’abstraction, aux côtés des russes </w:t>
      </w:r>
      <w:proofErr w:type="spellStart"/>
      <w:r w:rsidR="0049324E" w:rsidRPr="0049324E">
        <w:t>Vasily</w:t>
      </w:r>
      <w:proofErr w:type="spellEnd"/>
      <w:r w:rsidR="0049324E" w:rsidRPr="0049324E">
        <w:t xml:space="preserve"> </w:t>
      </w:r>
      <w:proofErr w:type="spellStart"/>
      <w:r w:rsidR="0049324E" w:rsidRPr="0049324E">
        <w:t>Ka</w:t>
      </w:r>
      <w:r w:rsidR="0049324E">
        <w:t>n</w:t>
      </w:r>
      <w:r w:rsidR="0049324E" w:rsidRPr="0049324E">
        <w:t>dinski</w:t>
      </w:r>
      <w:proofErr w:type="spellEnd"/>
      <w:r w:rsidR="0049324E" w:rsidRPr="0049324E">
        <w:t xml:space="preserve"> et </w:t>
      </w:r>
      <w:proofErr w:type="spellStart"/>
      <w:r w:rsidR="0049324E" w:rsidRPr="0049324E">
        <w:t>Kasimir</w:t>
      </w:r>
      <w:proofErr w:type="spellEnd"/>
      <w:r w:rsidR="0049324E" w:rsidRPr="0049324E">
        <w:t xml:space="preserve"> Malevitch.</w:t>
      </w:r>
    </w:p>
    <w:p w:rsidR="0049324E" w:rsidRDefault="0049324E">
      <w:r w:rsidRPr="0049324E">
        <w:t xml:space="preserve">Il est majoritairement connu pour son </w:t>
      </w:r>
      <w:r w:rsidR="00681397" w:rsidRPr="0049324E">
        <w:t>œuvre</w:t>
      </w:r>
      <w:r w:rsidRPr="0049324E">
        <w:t> </w:t>
      </w:r>
      <w:r w:rsidRPr="0049324E">
        <w:rPr>
          <w:i/>
          <w:iCs/>
        </w:rPr>
        <w:t>Composition avec bleu, rouge, jaune et noir</w:t>
      </w:r>
      <w:r w:rsidRPr="0049324E">
        <w:t xml:space="preserve">, contenant différents quadrilatères blancs, noirs, jaunes, bleus et rouges, séparés par des lignes noires. Dans cette </w:t>
      </w:r>
      <w:r w:rsidR="00681397" w:rsidRPr="0049324E">
        <w:t>œuvre</w:t>
      </w:r>
      <w:r w:rsidRPr="0049324E">
        <w:t>, l’artiste fait appel uniquement aux couleurs primaires que sont le jaune, le bleu et le rouge, et aux “non-couleurs” : le blanc et le noir.</w:t>
      </w:r>
    </w:p>
    <w:p w:rsidR="0049324E" w:rsidRPr="0049324E" w:rsidRDefault="0049324E">
      <w:pPr>
        <w:rPr>
          <w:b/>
        </w:rPr>
      </w:pPr>
      <w:r w:rsidRPr="0049324E">
        <w:rPr>
          <w:b/>
        </w:rPr>
        <w:t>Notions à exploiter en classe :</w:t>
      </w:r>
    </w:p>
    <w:p w:rsidR="0049324E" w:rsidRPr="00E6188A" w:rsidRDefault="00E6188A" w:rsidP="0049324E">
      <w:pPr>
        <w:pStyle w:val="ListParagraph"/>
        <w:numPr>
          <w:ilvl w:val="0"/>
          <w:numId w:val="1"/>
        </w:numPr>
      </w:pPr>
      <w:r w:rsidRPr="00E6188A">
        <w:t>Couleurs – primaires</w:t>
      </w:r>
      <w:r w:rsidR="0049324E">
        <w:t xml:space="preserve"> (</w:t>
      </w:r>
      <w:r w:rsidRPr="00E6188A">
        <w:t>bleu, rouge jaune</w:t>
      </w:r>
      <w:r w:rsidR="0049324E">
        <w:t>) et neutre</w:t>
      </w:r>
      <w:r w:rsidR="00681397">
        <w:t>s</w:t>
      </w:r>
      <w:r w:rsidR="0049324E">
        <w:t xml:space="preserve"> (noir, blanc)</w:t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 w:rsidRPr="00E6188A">
        <w:t>Ligne – droites, horizontales, verticales, épaisses, minces, noires</w:t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 w:rsidRPr="00E6188A">
        <w:t>Formes – carrés, rectangles</w:t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 w:rsidRPr="00E6188A">
        <w:t>Notions artistiques – abstraction, couleurs primaires, couleurs neutres, modernisme, composition</w:t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 w:rsidRPr="00E6188A">
        <w:t>Notions mathématiques – formes (carré, rectangle), lignes parallèles, lignes perpendiculaires, aire (surfa</w:t>
      </w:r>
      <w:r>
        <w:t>ce), périmètre (contour), angle droit</w:t>
      </w:r>
      <w:r w:rsidRPr="00E6188A">
        <w:t xml:space="preserve"> (90 degrés)</w:t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 w:rsidRPr="00E6188A">
        <w:t>Notions géographiques – Pays-Bas, néerlandais, Hollande, New-York</w:t>
      </w:r>
    </w:p>
    <w:p w:rsidR="00E6188A" w:rsidRDefault="00E6188A" w:rsidP="00E6188A">
      <w:pPr>
        <w:pStyle w:val="ListParagraph"/>
        <w:numPr>
          <w:ilvl w:val="0"/>
          <w:numId w:val="1"/>
        </w:numPr>
      </w:pPr>
      <w:r w:rsidRPr="00E6188A">
        <w:t>Notions chronologiques – 1872 à 1944</w:t>
      </w:r>
    </w:p>
    <w:p w:rsidR="00E6188A" w:rsidRDefault="00E6188A" w:rsidP="00E6188A">
      <w:pPr>
        <w:rPr>
          <w:b/>
        </w:rPr>
      </w:pPr>
    </w:p>
    <w:p w:rsidR="00E6188A" w:rsidRPr="00E6188A" w:rsidRDefault="00E6188A" w:rsidP="00E6188A">
      <w:pPr>
        <w:rPr>
          <w:b/>
          <w:sz w:val="28"/>
          <w:szCs w:val="28"/>
        </w:rPr>
      </w:pPr>
      <w:r w:rsidRPr="00E6188A">
        <w:rPr>
          <w:b/>
          <w:sz w:val="28"/>
          <w:szCs w:val="28"/>
        </w:rPr>
        <w:t xml:space="preserve">Projets </w:t>
      </w:r>
    </w:p>
    <w:p w:rsidR="00E6188A" w:rsidRDefault="00E6188A" w:rsidP="00E6188A">
      <w:pPr>
        <w:rPr>
          <w:b/>
        </w:rPr>
      </w:pPr>
      <w:r>
        <w:rPr>
          <w:b/>
        </w:rPr>
        <w:t>1</w:t>
      </w:r>
      <w:r w:rsidRPr="00E6188A">
        <w:rPr>
          <w:b/>
          <w:vertAlign w:val="superscript"/>
        </w:rPr>
        <w:t>er</w:t>
      </w:r>
      <w:r>
        <w:rPr>
          <w:b/>
        </w:rPr>
        <w:t xml:space="preserve"> cycle du primaire</w:t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>
        <w:rPr>
          <w:b/>
        </w:rPr>
        <w:t xml:space="preserve">Collage : </w:t>
      </w:r>
      <w:r w:rsidRPr="00E6188A">
        <w:t xml:space="preserve">Prendre 1 </w:t>
      </w:r>
      <w:r>
        <w:t>carré</w:t>
      </w:r>
      <w:r w:rsidRPr="00E6188A">
        <w:t xml:space="preserve"> de chaque couleur. </w:t>
      </w:r>
      <w:r>
        <w:t xml:space="preserve"> C</w:t>
      </w:r>
      <w:r w:rsidRPr="00E6188A">
        <w:t>ouper</w:t>
      </w:r>
      <w:r>
        <w:t xml:space="preserve"> chaque carré</w:t>
      </w:r>
      <w:r w:rsidRPr="00E6188A">
        <w:t xml:space="preserve"> pour obtenir 2 formes de chaque couleur. Créer une composition équilibrée avec ces éléments.</w:t>
      </w:r>
    </w:p>
    <w:p w:rsidR="00E6188A" w:rsidRDefault="00E6188A" w:rsidP="00E6188A">
      <w:pPr>
        <w:pStyle w:val="ListParagraph"/>
        <w:numPr>
          <w:ilvl w:val="1"/>
          <w:numId w:val="1"/>
        </w:numPr>
      </w:pPr>
      <w:r w:rsidRPr="00E6188A">
        <w:t>carrés de couleur rouge, jaune, bleue</w:t>
      </w:r>
      <w:r>
        <w:t xml:space="preserve"> </w:t>
      </w:r>
    </w:p>
    <w:p w:rsidR="00E6188A" w:rsidRPr="00E6188A" w:rsidRDefault="00E6188A" w:rsidP="00E6188A">
      <w:pPr>
        <w:pStyle w:val="ListParagraph"/>
        <w:numPr>
          <w:ilvl w:val="1"/>
          <w:numId w:val="1"/>
        </w:numPr>
      </w:pPr>
      <w:r w:rsidRPr="00E6188A">
        <w:t>carton blanc</w:t>
      </w:r>
    </w:p>
    <w:p w:rsidR="00E6188A" w:rsidRPr="00E6188A" w:rsidRDefault="00E6188A" w:rsidP="00E6188A">
      <w:pPr>
        <w:pStyle w:val="ListParagraph"/>
        <w:numPr>
          <w:ilvl w:val="1"/>
          <w:numId w:val="1"/>
        </w:numPr>
      </w:pPr>
      <w:r w:rsidRPr="00E6188A">
        <w:t>languettes noires – minces et larges</w:t>
      </w:r>
    </w:p>
    <w:p w:rsidR="00E6188A" w:rsidRPr="00E6188A" w:rsidRDefault="00E6188A" w:rsidP="00E6188A">
      <w:pPr>
        <w:pStyle w:val="ListParagraph"/>
        <w:numPr>
          <w:ilvl w:val="1"/>
          <w:numId w:val="1"/>
        </w:numPr>
      </w:pPr>
      <w:r w:rsidRPr="00E6188A">
        <w:t>colle en bâton</w:t>
      </w:r>
    </w:p>
    <w:p w:rsidR="00E6188A" w:rsidRDefault="00E6188A" w:rsidP="00E6188A">
      <w:pPr>
        <w:pStyle w:val="ListParagraph"/>
        <w:numPr>
          <w:ilvl w:val="1"/>
          <w:numId w:val="1"/>
        </w:numPr>
      </w:pPr>
      <w:r w:rsidRPr="00E6188A">
        <w:t>règles, crayons, ciseaux</w:t>
      </w:r>
    </w:p>
    <w:p w:rsidR="00E6188A" w:rsidRPr="003D47F3" w:rsidRDefault="003D47F3" w:rsidP="003D47F3">
      <w:r>
        <w:rPr>
          <w:noProof/>
          <w:lang w:eastAsia="fr-CA"/>
        </w:rPr>
        <w:t xml:space="preserve">                                     </w:t>
      </w:r>
      <w:r w:rsidR="00E6188A">
        <w:rPr>
          <w:noProof/>
          <w:lang w:eastAsia="fr-CA"/>
        </w:rPr>
        <w:drawing>
          <wp:inline distT="0" distB="0" distL="0" distR="0" wp14:anchorId="6682B3B6" wp14:editId="3F3540F5">
            <wp:extent cx="1323975" cy="1743506"/>
            <wp:effectExtent l="0" t="0" r="0" b="9525"/>
            <wp:docPr id="1" name="Picture 1" descr="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n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8A" w:rsidRPr="00E6188A" w:rsidRDefault="00E6188A" w:rsidP="00E6188A">
      <w:pPr>
        <w:pStyle w:val="ListParagraph"/>
        <w:numPr>
          <w:ilvl w:val="0"/>
          <w:numId w:val="1"/>
        </w:numPr>
      </w:pPr>
      <w:r>
        <w:rPr>
          <w:b/>
        </w:rPr>
        <w:lastRenderedPageBreak/>
        <w:t xml:space="preserve">Peinture : </w:t>
      </w:r>
      <w:r w:rsidRPr="00E6188A">
        <w:t xml:space="preserve">Au crayon, créer le grillage qui servira de base pour l’œuvre. Choisir quels espaces seront peints et la couleur </w:t>
      </w:r>
      <w:r>
        <w:t xml:space="preserve">choisie </w:t>
      </w:r>
      <w:r w:rsidRPr="00E6188A">
        <w:t xml:space="preserve">(2 espaces par couleur). Ce projet sera plus salissant, prévoir </w:t>
      </w:r>
      <w:r>
        <w:t xml:space="preserve">du </w:t>
      </w:r>
      <w:r w:rsidRPr="00E6188A">
        <w:t>temps de séchage entre les couleurs</w:t>
      </w:r>
    </w:p>
    <w:p w:rsidR="00E6188A" w:rsidRPr="00E6188A" w:rsidRDefault="00E6188A" w:rsidP="00E6188A">
      <w:pPr>
        <w:pStyle w:val="ListParagraph"/>
        <w:numPr>
          <w:ilvl w:val="1"/>
          <w:numId w:val="1"/>
        </w:numPr>
      </w:pPr>
      <w:r w:rsidRPr="00E6188A">
        <w:t>gouache bleue, rouge, jaune</w:t>
      </w:r>
    </w:p>
    <w:p w:rsidR="00E6188A" w:rsidRPr="00E6188A" w:rsidRDefault="00E6188A" w:rsidP="00E6188A">
      <w:pPr>
        <w:pStyle w:val="ListParagraph"/>
        <w:numPr>
          <w:ilvl w:val="1"/>
          <w:numId w:val="1"/>
        </w:numPr>
      </w:pPr>
      <w:r w:rsidRPr="00E6188A">
        <w:t>carton blanc</w:t>
      </w:r>
    </w:p>
    <w:p w:rsidR="00E6188A" w:rsidRPr="00E6188A" w:rsidRDefault="00E6188A" w:rsidP="00E6188A">
      <w:pPr>
        <w:pStyle w:val="ListParagraph"/>
        <w:numPr>
          <w:ilvl w:val="1"/>
          <w:numId w:val="1"/>
        </w:numPr>
      </w:pPr>
      <w:r w:rsidRPr="00E6188A">
        <w:t>languettes noires ou ruban d’électricien noir</w:t>
      </w:r>
    </w:p>
    <w:p w:rsidR="00E6188A" w:rsidRDefault="00E6188A" w:rsidP="00E6188A">
      <w:pPr>
        <w:pStyle w:val="ListParagraph"/>
        <w:numPr>
          <w:ilvl w:val="1"/>
          <w:numId w:val="1"/>
        </w:numPr>
      </w:pPr>
      <w:r w:rsidRPr="00E6188A">
        <w:t>règle, crayons</w:t>
      </w:r>
    </w:p>
    <w:p w:rsidR="00E6188A" w:rsidRPr="00E6188A" w:rsidRDefault="003D47F3" w:rsidP="00E6188A">
      <w:r>
        <w:rPr>
          <w:noProof/>
          <w:lang w:eastAsia="fr-CA"/>
        </w:rPr>
        <w:t xml:space="preserve">                                          </w:t>
      </w:r>
      <w:r w:rsidR="00E6188A">
        <w:rPr>
          <w:noProof/>
          <w:lang w:eastAsia="fr-CA"/>
        </w:rPr>
        <w:drawing>
          <wp:inline distT="0" distB="0" distL="0" distR="0" wp14:anchorId="3CD3E3A7" wp14:editId="27D1491F">
            <wp:extent cx="1487053" cy="1571625"/>
            <wp:effectExtent l="0" t="0" r="0" b="0"/>
            <wp:docPr id="9" name="Picture 9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width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5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8A" w:rsidRDefault="00E6188A" w:rsidP="00E6188A">
      <w:pPr>
        <w:pStyle w:val="ListParagraph"/>
        <w:ind w:left="0"/>
        <w:rPr>
          <w:b/>
        </w:rPr>
      </w:pPr>
    </w:p>
    <w:p w:rsidR="00E6188A" w:rsidRPr="00E6188A" w:rsidRDefault="00E6188A" w:rsidP="00E6188A">
      <w:pPr>
        <w:pStyle w:val="ListParagraph"/>
        <w:numPr>
          <w:ilvl w:val="0"/>
          <w:numId w:val="4"/>
        </w:numPr>
      </w:pPr>
      <w:r w:rsidRPr="00E6188A">
        <w:rPr>
          <w:b/>
        </w:rPr>
        <w:t>Coloriage</w:t>
      </w:r>
      <w:r>
        <w:rPr>
          <w:b/>
        </w:rPr>
        <w:t> </w:t>
      </w:r>
      <w:r w:rsidRPr="00E6188A">
        <w:t xml:space="preserve">: </w:t>
      </w:r>
      <w:r w:rsidRPr="00E6188A">
        <w:t>le plus facile à réaliser</w:t>
      </w:r>
      <w:r>
        <w:t xml:space="preserve">. </w:t>
      </w:r>
      <w:r w:rsidRPr="00E6188A">
        <w:t xml:space="preserve">Au crayon, créer le grillage qui servira de base pour l’œuvre. Choisir quels espaces seront </w:t>
      </w:r>
      <w:r>
        <w:t>coloriés</w:t>
      </w:r>
      <w:r w:rsidRPr="00E6188A">
        <w:t xml:space="preserve"> et la couleur</w:t>
      </w:r>
      <w:r>
        <w:t xml:space="preserve"> choisie</w:t>
      </w:r>
      <w:r w:rsidRPr="00E6188A">
        <w:t xml:space="preserve"> (2 espaces par couleur).</w:t>
      </w:r>
    </w:p>
    <w:p w:rsidR="00E6188A" w:rsidRPr="00E6188A" w:rsidRDefault="00E6188A" w:rsidP="00E6188A">
      <w:pPr>
        <w:pStyle w:val="ListParagraph"/>
        <w:numPr>
          <w:ilvl w:val="1"/>
          <w:numId w:val="5"/>
        </w:numPr>
      </w:pPr>
      <w:r w:rsidRPr="00E6188A">
        <w:t>Carton blanc</w:t>
      </w:r>
    </w:p>
    <w:p w:rsidR="00E6188A" w:rsidRPr="00E6188A" w:rsidRDefault="00E6188A" w:rsidP="00E6188A">
      <w:pPr>
        <w:pStyle w:val="ListParagraph"/>
        <w:numPr>
          <w:ilvl w:val="1"/>
          <w:numId w:val="5"/>
        </w:numPr>
      </w:pPr>
      <w:r w:rsidRPr="00E6188A">
        <w:t>Crayons, règles, équerres, gabarit</w:t>
      </w:r>
      <w:r>
        <w:t>s</w:t>
      </w:r>
      <w:r w:rsidRPr="00E6188A">
        <w:t xml:space="preserve"> de largeur (languettes de carton), effaces</w:t>
      </w:r>
    </w:p>
    <w:p w:rsidR="00E6188A" w:rsidRPr="00E6188A" w:rsidRDefault="00E6188A" w:rsidP="00E6188A">
      <w:pPr>
        <w:pStyle w:val="ListParagraph"/>
        <w:numPr>
          <w:ilvl w:val="1"/>
          <w:numId w:val="5"/>
        </w:numPr>
      </w:pPr>
      <w:r w:rsidRPr="00E6188A">
        <w:t>Crayons à colorier, crayons de cire, pastels gras, feutres (noir, jaune, bleu, rouge)</w:t>
      </w:r>
    </w:p>
    <w:p w:rsidR="00E6188A" w:rsidRPr="00E6188A" w:rsidRDefault="00E6188A" w:rsidP="00E6188A">
      <w:pPr>
        <w:pStyle w:val="ListParagraph"/>
        <w:ind w:left="1440"/>
        <w:rPr>
          <w:b/>
        </w:rPr>
      </w:pPr>
    </w:p>
    <w:p w:rsidR="003D47F3" w:rsidRDefault="00E6188A" w:rsidP="003D47F3">
      <w:pPr>
        <w:rPr>
          <w:b/>
        </w:rPr>
      </w:pPr>
      <w:r>
        <w:rPr>
          <w:b/>
        </w:rPr>
        <w:t>2</w:t>
      </w:r>
      <w:r w:rsidRPr="00E6188A">
        <w:rPr>
          <w:b/>
          <w:vertAlign w:val="superscript"/>
        </w:rPr>
        <w:t>e</w:t>
      </w:r>
      <w:r>
        <w:rPr>
          <w:b/>
        </w:rPr>
        <w:t xml:space="preserve"> cy</w:t>
      </w:r>
      <w:r w:rsidR="003D47F3">
        <w:rPr>
          <w:b/>
        </w:rPr>
        <w:t>cl</w:t>
      </w:r>
      <w:r>
        <w:rPr>
          <w:b/>
        </w:rPr>
        <w:t>e du primaire</w:t>
      </w:r>
      <w:r w:rsidR="003D47F3">
        <w:rPr>
          <w:b/>
        </w:rPr>
        <w:t xml:space="preserve">                                       </w:t>
      </w:r>
    </w:p>
    <w:p w:rsidR="003D47F3" w:rsidRDefault="00E6188A" w:rsidP="003D47F3">
      <w:pPr>
        <w:rPr>
          <w:noProof/>
          <w:lang w:eastAsia="fr-CA"/>
        </w:rPr>
      </w:pPr>
      <w:r w:rsidRPr="003D47F3">
        <w:rPr>
          <w:b/>
        </w:rPr>
        <w:t xml:space="preserve">Coloriage  à transposer sur une forme : </w:t>
      </w:r>
      <w:r w:rsidRPr="00E6188A">
        <w:t>même démarche que ci-dessus. Découper le résultat final en forme d’animal</w:t>
      </w:r>
      <w:r>
        <w:t xml:space="preserve">, de personnage, de forme (cœur) </w:t>
      </w:r>
      <w:r w:rsidR="003D47F3">
        <w:t xml:space="preserve"> et coller sur un carton noir.</w:t>
      </w:r>
    </w:p>
    <w:p w:rsidR="003D47F3" w:rsidRDefault="003D47F3" w:rsidP="00E6188A">
      <w:pPr>
        <w:rPr>
          <w:noProof/>
          <w:lang w:eastAsia="fr-CA"/>
        </w:rPr>
      </w:pPr>
      <w:r>
        <w:rPr>
          <w:noProof/>
          <w:lang w:eastAsia="fr-CA"/>
        </w:rPr>
        <w:t xml:space="preserve">                    </w:t>
      </w:r>
      <w:r w:rsidR="00E6188A">
        <w:rPr>
          <w:noProof/>
          <w:lang w:eastAsia="fr-CA"/>
        </w:rPr>
        <w:drawing>
          <wp:inline distT="0" distB="0" distL="0" distR="0" wp14:anchorId="3CA49276" wp14:editId="109384D9">
            <wp:extent cx="2345019" cy="2916620"/>
            <wp:effectExtent l="0" t="0" r="0" b="0"/>
            <wp:docPr id="2" name="Picture 2" descr="Minions do art history. Use as a way for students to discover and memorize actual works of art. Partners work together to figure out the real artwork and artist, present information to class. Sitting Model: Ke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nions do art history. Use as a way for students to discover and memorize actual works of art. Partners work together to figure out the real artwork and artist, present information to class. Sitting Model: Kev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53" cy="29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88A">
        <w:tab/>
      </w:r>
      <w:r>
        <w:rPr>
          <w:noProof/>
          <w:lang w:eastAsia="fr-CA"/>
        </w:rPr>
        <w:t xml:space="preserve">                            </w:t>
      </w:r>
      <w:r w:rsidR="0049324E">
        <w:rPr>
          <w:noProof/>
          <w:lang w:eastAsia="fr-CA"/>
        </w:rPr>
        <w:drawing>
          <wp:inline distT="0" distB="0" distL="0" distR="0" wp14:anchorId="782BF0B8" wp14:editId="48BEC78B">
            <wp:extent cx="2430839" cy="2677363"/>
            <wp:effectExtent l="0" t="0" r="762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095" cy="26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8A" w:rsidRPr="003D47F3" w:rsidRDefault="003D47F3" w:rsidP="00E6188A">
      <w:pPr>
        <w:rPr>
          <w:b/>
        </w:rPr>
      </w:pPr>
      <w:r>
        <w:rPr>
          <w:noProof/>
          <w:lang w:eastAsia="fr-CA"/>
        </w:rPr>
        <w:lastRenderedPageBreak/>
        <w:t xml:space="preserve">                          </w:t>
      </w:r>
      <w:r>
        <w:rPr>
          <w:noProof/>
          <w:lang w:eastAsia="fr-CA"/>
        </w:rPr>
        <w:drawing>
          <wp:inline distT="0" distB="0" distL="0" distR="0" wp14:anchorId="1C2440D4" wp14:editId="35D7D6FD">
            <wp:extent cx="1388269" cy="1851025"/>
            <wp:effectExtent l="0" t="0" r="2540" b="0"/>
            <wp:docPr id="7" name="Picture 7" descr="Mrs. T's First Grade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rs. T's First Grade Cla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26" cy="18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                       </w:t>
      </w:r>
      <w:r>
        <w:rPr>
          <w:noProof/>
          <w:lang w:eastAsia="fr-CA"/>
        </w:rPr>
        <w:drawing>
          <wp:inline distT="0" distB="0" distL="0" distR="0" wp14:anchorId="41FB4192" wp14:editId="5F0F4AD7">
            <wp:extent cx="2524125" cy="2008082"/>
            <wp:effectExtent l="0" t="0" r="0" b="0"/>
            <wp:docPr id="8" name="Picture 8" descr="Piet Mondrian for Pre-k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t Mondrian for Pre-k-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23" cy="20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F3" w:rsidRPr="00E6188A" w:rsidRDefault="00E6188A" w:rsidP="00E6188A">
      <w:pPr>
        <w:rPr>
          <w:noProof/>
          <w:lang w:eastAsia="fr-CA"/>
        </w:rPr>
      </w:pPr>
      <w:r>
        <w:rPr>
          <w:noProof/>
          <w:lang w:eastAsia="fr-CA"/>
        </w:rPr>
        <w:t xml:space="preserve">  </w:t>
      </w:r>
    </w:p>
    <w:p w:rsidR="00E6188A" w:rsidRPr="00E6188A" w:rsidRDefault="00E6188A" w:rsidP="00E6188A">
      <w:pPr>
        <w:pStyle w:val="ListParagraph"/>
        <w:rPr>
          <w:b/>
        </w:rPr>
      </w:pPr>
    </w:p>
    <w:p w:rsidR="00E6188A" w:rsidRPr="00E6188A" w:rsidRDefault="00E6188A" w:rsidP="00E6188A">
      <w:pPr>
        <w:pStyle w:val="ListParagraph"/>
        <w:numPr>
          <w:ilvl w:val="0"/>
          <w:numId w:val="4"/>
        </w:numPr>
        <w:rPr>
          <w:b/>
        </w:rPr>
      </w:pPr>
      <w:r w:rsidRPr="00E6188A">
        <w:rPr>
          <w:b/>
        </w:rPr>
        <w:t>Projet intégrateur de mathématiques :</w:t>
      </w:r>
      <w:r>
        <w:rPr>
          <w:b/>
        </w:rPr>
        <w:tab/>
        <w:t xml:space="preserve"> </w:t>
      </w:r>
      <w:r>
        <w:t>mesurer le périmètre et l’aire des formes</w:t>
      </w:r>
    </w:p>
    <w:p w:rsidR="00E6188A" w:rsidRPr="00E6188A" w:rsidRDefault="00E6188A" w:rsidP="00E6188A">
      <w:pPr>
        <w:pStyle w:val="ListParagraph"/>
        <w:numPr>
          <w:ilvl w:val="1"/>
          <w:numId w:val="6"/>
        </w:numPr>
      </w:pPr>
      <w:r w:rsidRPr="00E6188A">
        <w:t xml:space="preserve">Papier quadrillé </w:t>
      </w:r>
    </w:p>
    <w:p w:rsidR="00E6188A" w:rsidRDefault="00E6188A" w:rsidP="00E6188A">
      <w:pPr>
        <w:pStyle w:val="ListParagraph"/>
        <w:numPr>
          <w:ilvl w:val="1"/>
          <w:numId w:val="6"/>
        </w:numPr>
      </w:pPr>
      <w:r w:rsidRPr="00E6188A">
        <w:t>Matériel de dessin et coloriage</w:t>
      </w:r>
    </w:p>
    <w:p w:rsidR="00E6188A" w:rsidRPr="00E6188A" w:rsidRDefault="00E6188A" w:rsidP="00E6188A">
      <w:pPr>
        <w:pStyle w:val="ListParagraph"/>
        <w:ind w:left="1440"/>
      </w:pPr>
      <w:r>
        <w:rPr>
          <w:noProof/>
          <w:lang w:eastAsia="fr-CA"/>
        </w:rPr>
        <w:drawing>
          <wp:inline distT="0" distB="0" distL="0" distR="0" wp14:anchorId="2B0BDA61" wp14:editId="00C58738">
            <wp:extent cx="3133725" cy="2400300"/>
            <wp:effectExtent l="0" t="0" r="9525" b="0"/>
            <wp:docPr id="17" name="Picture 17" descr="E is for Explore!: Area / Perimeter Mond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 is for Explore!: Area / Perimeter Mondri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8A" w:rsidRDefault="00E6188A" w:rsidP="00E6188A"/>
    <w:p w:rsidR="00E6188A" w:rsidRPr="00E6188A" w:rsidRDefault="00E6188A" w:rsidP="00E6188A">
      <w:pPr>
        <w:pStyle w:val="ListParagraph"/>
        <w:numPr>
          <w:ilvl w:val="0"/>
          <w:numId w:val="4"/>
        </w:numPr>
        <w:rPr>
          <w:b/>
        </w:rPr>
      </w:pPr>
      <w:r w:rsidRPr="00E6188A">
        <w:rPr>
          <w:b/>
        </w:rPr>
        <w:t>Bougeoir</w:t>
      </w:r>
      <w:r>
        <w:rPr>
          <w:b/>
        </w:rPr>
        <w:t xml:space="preserve"> : </w:t>
      </w:r>
      <w:r>
        <w:t>demande précision dans le coloriage des lignes</w:t>
      </w:r>
      <w:r w:rsidR="0049324E">
        <w:t xml:space="preserve"> et de l’application du ruban collant</w:t>
      </w:r>
    </w:p>
    <w:p w:rsidR="00E6188A" w:rsidRPr="00E6188A" w:rsidRDefault="00E6188A" w:rsidP="00E6188A">
      <w:pPr>
        <w:pStyle w:val="ListParagraph"/>
        <w:numPr>
          <w:ilvl w:val="1"/>
          <w:numId w:val="7"/>
        </w:numPr>
        <w:rPr>
          <w:b/>
        </w:rPr>
      </w:pPr>
      <w:r>
        <w:t>Petit pot de verre</w:t>
      </w:r>
    </w:p>
    <w:p w:rsidR="00E6188A" w:rsidRPr="00E6188A" w:rsidRDefault="00E6188A" w:rsidP="00E6188A">
      <w:pPr>
        <w:pStyle w:val="ListParagraph"/>
        <w:numPr>
          <w:ilvl w:val="1"/>
          <w:numId w:val="7"/>
        </w:numPr>
        <w:rPr>
          <w:b/>
        </w:rPr>
      </w:pPr>
      <w:r>
        <w:t>Sharpies noir, jaune, bleu, rouge</w:t>
      </w:r>
    </w:p>
    <w:p w:rsidR="00E6188A" w:rsidRPr="00E6188A" w:rsidRDefault="00E6188A" w:rsidP="00E6188A">
      <w:pPr>
        <w:pStyle w:val="ListParagraph"/>
        <w:numPr>
          <w:ilvl w:val="1"/>
          <w:numId w:val="7"/>
        </w:numPr>
        <w:rPr>
          <w:b/>
        </w:rPr>
      </w:pPr>
      <w:r>
        <w:t>Ruban masque ou de peintre pour délimiter les zones à colorier et obtenir des lignes droites.</w:t>
      </w:r>
    </w:p>
    <w:p w:rsidR="00E6188A" w:rsidRDefault="003D47F3" w:rsidP="00E6188A">
      <w:pPr>
        <w:rPr>
          <w:b/>
        </w:rPr>
      </w:pPr>
      <w:r>
        <w:rPr>
          <w:b/>
        </w:rPr>
        <w:lastRenderedPageBreak/>
        <w:t xml:space="preserve">                                                               </w:t>
      </w:r>
      <w:r w:rsidR="0049324E">
        <w:rPr>
          <w:noProof/>
          <w:lang w:eastAsia="fr-CA"/>
        </w:rPr>
        <w:drawing>
          <wp:inline distT="0" distB="0" distL="0" distR="0" wp14:anchorId="143B9C7F" wp14:editId="72F6D442">
            <wp:extent cx="1894637" cy="17154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3791" cy="172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F3" w:rsidRDefault="003D47F3" w:rsidP="00E6188A">
      <w:pPr>
        <w:rPr>
          <w:b/>
        </w:rPr>
      </w:pPr>
    </w:p>
    <w:p w:rsidR="00E6188A" w:rsidRDefault="00E6188A" w:rsidP="00E6188A">
      <w:pPr>
        <w:pStyle w:val="ListParagraph"/>
        <w:numPr>
          <w:ilvl w:val="0"/>
          <w:numId w:val="4"/>
        </w:numPr>
      </w:pPr>
      <w:r>
        <w:rPr>
          <w:b/>
        </w:rPr>
        <w:t xml:space="preserve">Création de design : </w:t>
      </w:r>
      <w:r>
        <w:t xml:space="preserve">Travailler sur une surface à 3 </w:t>
      </w:r>
      <w:r>
        <w:t xml:space="preserve">dimensions. </w:t>
      </w:r>
    </w:p>
    <w:p w:rsidR="00E6188A" w:rsidRDefault="00E6188A" w:rsidP="00E6188A">
      <w:pPr>
        <w:pStyle w:val="ListParagraph"/>
        <w:numPr>
          <w:ilvl w:val="1"/>
          <w:numId w:val="4"/>
        </w:numPr>
      </w:pPr>
      <w:r>
        <w:t>P</w:t>
      </w:r>
      <w:r w:rsidRPr="00E6188A">
        <w:t>rendre un objet commun (efface, crayon, règle,  boite, etc.) et le transformer en objet ‘à la Mondrian’</w:t>
      </w:r>
      <w:r>
        <w:t>.</w:t>
      </w:r>
    </w:p>
    <w:p w:rsidR="00E6188A" w:rsidRPr="003D47F3" w:rsidRDefault="00E6188A" w:rsidP="003D47F3">
      <w:pPr>
        <w:pStyle w:val="ListParagraph"/>
        <w:ind w:left="1440"/>
      </w:pPr>
      <w:r>
        <w:rPr>
          <w:noProof/>
          <w:lang w:eastAsia="fr-CA"/>
        </w:rPr>
        <w:drawing>
          <wp:inline distT="0" distB="0" distL="0" distR="0" wp14:anchorId="591D6701" wp14:editId="580577B7">
            <wp:extent cx="1866900" cy="3934068"/>
            <wp:effectExtent l="0" t="0" r="0" b="9525"/>
            <wp:docPr id="16" name="Picture 16" descr="Forget the bathing suit, but take a look at all the products based on Mondrian. Create an entrepreneurial project in which students design a product based on an artist and pitch it (Shark Tank style) to other clas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get the bathing suit, but take a look at all the products based on Mondrian. Create an entrepreneurial project in which students design a product based on an artist and pitch it (Shark Tank style) to other clas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90" cy="39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7F3">
        <w:t xml:space="preserve">                </w:t>
      </w:r>
      <w:r w:rsidR="0049324E">
        <w:rPr>
          <w:noProof/>
          <w:lang w:eastAsia="fr-CA"/>
        </w:rPr>
        <w:drawing>
          <wp:inline distT="0" distB="0" distL="0" distR="0" wp14:anchorId="73575351" wp14:editId="469953DD">
            <wp:extent cx="2886625" cy="2124075"/>
            <wp:effectExtent l="0" t="0" r="9525" b="0"/>
            <wp:docPr id="19" name="Picture 19" descr="Résultats de recherche d'images pour « marketing Mondria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marketing Mondrian 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F3" w:rsidRDefault="003D47F3" w:rsidP="00E6188A">
      <w:pPr>
        <w:rPr>
          <w:b/>
        </w:rPr>
      </w:pPr>
    </w:p>
    <w:p w:rsidR="003D47F3" w:rsidRDefault="003D47F3" w:rsidP="00E6188A">
      <w:pPr>
        <w:rPr>
          <w:b/>
        </w:rPr>
      </w:pPr>
    </w:p>
    <w:p w:rsidR="0049324E" w:rsidRDefault="0049324E" w:rsidP="00E6188A">
      <w:pPr>
        <w:rPr>
          <w:b/>
        </w:rPr>
      </w:pPr>
      <w:r>
        <w:rPr>
          <w:noProof/>
          <w:lang w:eastAsia="fr-CA"/>
        </w:rPr>
        <w:lastRenderedPageBreak/>
        <w:t xml:space="preserve">                  </w:t>
      </w:r>
      <w:r>
        <w:rPr>
          <w:noProof/>
          <w:lang w:eastAsia="fr-CA"/>
        </w:rPr>
        <w:drawing>
          <wp:inline distT="0" distB="0" distL="0" distR="0" wp14:anchorId="734B50E4" wp14:editId="20168F2F">
            <wp:extent cx="2176159" cy="3025069"/>
            <wp:effectExtent l="0" t="0" r="0" b="4445"/>
            <wp:docPr id="18" name="Picture 18" descr="http://digital.iscom.org/~cschwager-pi/dessinemoiunepub/wp-content/uploads/2015/01/mondrian_chai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gital.iscom.org/~cschwager-pi/dessinemoiunepub/wp-content/uploads/2015/01/mondrian_chair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31" cy="30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       </w:t>
      </w:r>
      <w:r>
        <w:rPr>
          <w:noProof/>
          <w:lang w:eastAsia="fr-CA"/>
        </w:rPr>
        <w:drawing>
          <wp:inline distT="0" distB="0" distL="0" distR="0" wp14:anchorId="53A496B3" wp14:editId="3625BDD3">
            <wp:extent cx="2943225" cy="2943225"/>
            <wp:effectExtent l="0" t="0" r="9525" b="9525"/>
            <wp:docPr id="20" name="Picture 20" descr="Résultats de recherche d'images pour « marketing Mondria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marketing Mondrian 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4E" w:rsidRDefault="0049324E" w:rsidP="00E6188A">
      <w:pPr>
        <w:rPr>
          <w:b/>
        </w:rPr>
      </w:pPr>
    </w:p>
    <w:p w:rsidR="0049324E" w:rsidRDefault="0049324E" w:rsidP="00E6188A">
      <w:pPr>
        <w:rPr>
          <w:b/>
        </w:rPr>
      </w:pPr>
    </w:p>
    <w:p w:rsidR="00E6188A" w:rsidRDefault="00E6188A" w:rsidP="00E6188A">
      <w:pPr>
        <w:rPr>
          <w:b/>
        </w:rPr>
      </w:pPr>
      <w:r>
        <w:rPr>
          <w:b/>
        </w:rPr>
        <w:t>Cycles du secondaire :</w:t>
      </w:r>
    </w:p>
    <w:p w:rsidR="00E6188A" w:rsidRDefault="00E6188A" w:rsidP="00E6188A">
      <w:pPr>
        <w:pStyle w:val="ListParagraph"/>
        <w:numPr>
          <w:ilvl w:val="0"/>
          <w:numId w:val="8"/>
        </w:numPr>
      </w:pPr>
      <w:r>
        <w:rPr>
          <w:b/>
        </w:rPr>
        <w:t xml:space="preserve">Portrait ou autoportrait à la Mondrian : </w:t>
      </w:r>
      <w:r w:rsidRPr="00E6188A">
        <w:t>Utiliser une photo personnelle ou tirée d’</w:t>
      </w:r>
      <w:r>
        <w:t>un magazine et la</w:t>
      </w:r>
      <w:r w:rsidRPr="00E6188A">
        <w:t xml:space="preserve"> transposer sur une feuille. </w:t>
      </w:r>
      <w:r>
        <w:t>Lui donner une allure à la Mondrian, soit dans son tout ou en partie.</w:t>
      </w:r>
    </w:p>
    <w:p w:rsidR="00E6188A" w:rsidRDefault="00E6188A" w:rsidP="00E6188A">
      <w:r>
        <w:t xml:space="preserve">                              </w:t>
      </w:r>
      <w:r>
        <w:rPr>
          <w:noProof/>
          <w:lang w:eastAsia="fr-CA"/>
        </w:rPr>
        <w:drawing>
          <wp:inline distT="0" distB="0" distL="0" distR="0" wp14:anchorId="1D6AAF83" wp14:editId="20DBEFA3">
            <wp:extent cx="2150596" cy="2333625"/>
            <wp:effectExtent l="0" t="0" r="2540" b="0"/>
            <wp:docPr id="14" name="Picture 14" descr="Image result for mond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ondri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96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CA"/>
        </w:rPr>
        <w:drawing>
          <wp:inline distT="0" distB="0" distL="0" distR="0" wp14:anchorId="07E1ABE7" wp14:editId="778C7A95">
            <wp:extent cx="2600325" cy="2332166"/>
            <wp:effectExtent l="0" t="0" r="0" b="0"/>
            <wp:docPr id="15" name="Picture 15" descr="Piet Mondrian....self portraits.  1872 - 1944. Born Amersfoot, Netherlands. Painting, De Sti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et Mondrian....self portraits.  1872 - 1944. Born Amersfoot, Netherlands. Painting, De Stij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75" cy="2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F3" w:rsidRDefault="003D47F3" w:rsidP="00E6188A"/>
    <w:p w:rsidR="00362A3F" w:rsidRDefault="00E6188A" w:rsidP="00E6188A">
      <w:pPr>
        <w:pStyle w:val="ListParagraph"/>
        <w:numPr>
          <w:ilvl w:val="0"/>
          <w:numId w:val="8"/>
        </w:numPr>
      </w:pPr>
      <w:r w:rsidRPr="00E6188A">
        <w:rPr>
          <w:b/>
        </w:rPr>
        <w:t>Mode</w:t>
      </w:r>
      <w:r>
        <w:t xml:space="preserve"> – créer un vêtement, un accessoire à la Mondrian</w:t>
      </w:r>
      <w:r w:rsidR="00D75067">
        <w:t xml:space="preserve">                     </w:t>
      </w:r>
      <w:r w:rsidR="003D47F3">
        <w:t xml:space="preserve">        </w:t>
      </w:r>
    </w:p>
    <w:p w:rsidR="00E6188A" w:rsidRDefault="00362A3F" w:rsidP="00E6188A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9DAA0" wp14:editId="41F50C2F">
                <wp:simplePos x="0" y="0"/>
                <wp:positionH relativeFrom="column">
                  <wp:posOffset>3705149</wp:posOffset>
                </wp:positionH>
                <wp:positionV relativeFrom="paragraph">
                  <wp:posOffset>7315</wp:posOffset>
                </wp:positionV>
                <wp:extent cx="2055571" cy="3657600"/>
                <wp:effectExtent l="0" t="0" r="2095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571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3BF" w:rsidRDefault="00D75067">
                            <w:pPr>
                              <w:rPr>
                                <w:b/>
                                <w:i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E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n 1965, </w:t>
                            </w:r>
                            <w:r w:rsidR="00362A3F"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Yves Saint-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Laurent 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créa</w:t>
                            </w:r>
                            <w:r w:rsidR="0049324E"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ix </w:t>
                            </w:r>
                            <w:r w:rsidR="0049324E"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modèles de 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robes 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cocktail 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qu’</w:t>
                            </w:r>
                            <w:r w:rsidR="0049324E"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il nomma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24E" w:rsidRPr="003873BF">
                              <w:rPr>
                                <w:b/>
                                <w:i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Hommage à</w:t>
                            </w:r>
                            <w:r w:rsidRPr="003873BF">
                              <w:rPr>
                                <w:b/>
                                <w:i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2A3F" w:rsidRPr="003873BF">
                              <w:rPr>
                                <w:b/>
                                <w:i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Mondrian. </w:t>
                            </w:r>
                          </w:p>
                          <w:p w:rsidR="003873BF" w:rsidRPr="003873BF" w:rsidRDefault="003873BF">
                            <w:pPr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La réinjection d’une œuvre d’art aura marqué les esprits et aura fait de cette </w:t>
                            </w:r>
                            <w:r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collection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 l’une des plus photographiée de l’histoire de la mode.</w:t>
                            </w:r>
                          </w:p>
                          <w:p w:rsidR="003873BF" w:rsidRPr="003873BF" w:rsidRDefault="003873BF" w:rsidP="003873BF">
                            <w:pPr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En 2014, une vente aux enchères intitulée «</w:t>
                            </w:r>
                            <w:r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73BF">
                              <w:rPr>
                                <w:b/>
                                <w:i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Mode vintage et contemporaine</w:t>
                            </w:r>
                            <w:r>
                              <w:rPr>
                                <w:b/>
                                <w:i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73BF">
                              <w:rPr>
                                <w:b/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  <w:t>» a eu lieu à Paris. Un exemplaire d’une robe Mondrian été acquis pour 7 000 euros (environ 10 000$).</w:t>
                            </w:r>
                          </w:p>
                          <w:p w:rsidR="003873BF" w:rsidRPr="003873BF" w:rsidRDefault="003873BF">
                            <w:pPr>
                              <w:rPr>
                                <w:color w:val="26323E"/>
                                <w:spacing w:val="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75pt;margin-top:.6pt;width:161.8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">
                <v:textbox>
                  <w:txbxContent>
                    <w:p w:rsidR="003873BF" w:rsidRDefault="00D75067">
                      <w:pPr>
                        <w:rPr>
                          <w:b/>
                          <w:i/>
                          <w:color w:val="26323E"/>
                          <w:spacing w:val="8"/>
                          <w:sz w:val="20"/>
                          <w:szCs w:val="20"/>
                        </w:rPr>
                      </w:pP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E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n 1965, </w:t>
                      </w:r>
                      <w:r w:rsidR="00362A3F"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Yves Saint-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Laurent 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créa</w:t>
                      </w:r>
                      <w:r w:rsidR="0049324E"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 d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ix </w:t>
                      </w:r>
                      <w:r w:rsidR="0049324E"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modèles de 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robes 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cocktail 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qu’</w:t>
                      </w:r>
                      <w:r w:rsidR="0049324E"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il nomma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 w:rsidR="0049324E" w:rsidRPr="003873BF">
                        <w:rPr>
                          <w:b/>
                          <w:i/>
                          <w:color w:val="26323E"/>
                          <w:spacing w:val="8"/>
                          <w:sz w:val="20"/>
                          <w:szCs w:val="20"/>
                        </w:rPr>
                        <w:t>Hommage à</w:t>
                      </w:r>
                      <w:r w:rsidRPr="003873BF">
                        <w:rPr>
                          <w:b/>
                          <w:i/>
                          <w:color w:val="26323E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 w:rsidR="00362A3F" w:rsidRPr="003873BF">
                        <w:rPr>
                          <w:b/>
                          <w:i/>
                          <w:color w:val="26323E"/>
                          <w:spacing w:val="8"/>
                          <w:sz w:val="20"/>
                          <w:szCs w:val="20"/>
                        </w:rPr>
                        <w:t xml:space="preserve">Mondrian. </w:t>
                      </w:r>
                    </w:p>
                    <w:p w:rsidR="003873BF" w:rsidRPr="003873BF" w:rsidRDefault="003873BF">
                      <w:pPr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</w:pP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La réinjection d’une œuvre d’art aura marqué les esprits et aura fait de cette </w:t>
                      </w:r>
                      <w:r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collection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 l’une des plus photographiée de l’histoire de la mode.</w:t>
                      </w:r>
                    </w:p>
                    <w:p w:rsidR="003873BF" w:rsidRPr="003873BF" w:rsidRDefault="003873BF" w:rsidP="003873BF">
                      <w:pPr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</w:pP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En 2014, une vente aux enchères intitulée «</w:t>
                      </w:r>
                      <w:r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 w:rsidRPr="003873BF">
                        <w:rPr>
                          <w:b/>
                          <w:i/>
                          <w:color w:val="26323E"/>
                          <w:spacing w:val="8"/>
                          <w:sz w:val="20"/>
                          <w:szCs w:val="20"/>
                        </w:rPr>
                        <w:t>Mode vintage et contemporaine</w:t>
                      </w:r>
                      <w:r>
                        <w:rPr>
                          <w:b/>
                          <w:i/>
                          <w:color w:val="26323E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 w:rsidRPr="003873BF">
                        <w:rPr>
                          <w:b/>
                          <w:color w:val="26323E"/>
                          <w:spacing w:val="8"/>
                          <w:sz w:val="20"/>
                          <w:szCs w:val="20"/>
                        </w:rPr>
                        <w:t>» a eu lieu à Paris. Un exemplaire d’une robe Mondrian été acquis pour 7 000 euros (environ 10 000$).</w:t>
                      </w:r>
                    </w:p>
                    <w:p w:rsidR="003873BF" w:rsidRPr="003873BF" w:rsidRDefault="003873BF">
                      <w:pPr>
                        <w:rPr>
                          <w:color w:val="26323E"/>
                          <w:spacing w:val="8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  <w:r w:rsidR="00E6188A">
        <w:rPr>
          <w:noProof/>
          <w:lang w:eastAsia="fr-CA"/>
        </w:rPr>
        <w:drawing>
          <wp:inline distT="0" distB="0" distL="0" distR="0" wp14:anchorId="63AC334D" wp14:editId="6038EC15">
            <wp:extent cx="2541951" cy="3714750"/>
            <wp:effectExtent l="0" t="0" r="0" b="0"/>
            <wp:docPr id="11" name="Picture 11" descr="Mondrian dresses by Yves St Laurent, 1965. We called them Mod Dresses and I had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drian dresses by Yves St Laurent, 1965. We called them Mod Dresses and I had o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80" cy="37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4E" w:rsidRDefault="00362A3F" w:rsidP="00E6188A">
      <w:r>
        <w:t xml:space="preserve">                                          </w:t>
      </w:r>
    </w:p>
    <w:p w:rsidR="0049324E" w:rsidRDefault="0049324E" w:rsidP="00E6188A"/>
    <w:p w:rsidR="003873BF" w:rsidRDefault="003873BF" w:rsidP="00E6188A"/>
    <w:p w:rsidR="003873BF" w:rsidRDefault="003873BF" w:rsidP="00E6188A"/>
    <w:p w:rsidR="0049324E" w:rsidRDefault="0049324E" w:rsidP="0049324E">
      <w:pPr>
        <w:pStyle w:val="ListParagraph"/>
        <w:numPr>
          <w:ilvl w:val="0"/>
          <w:numId w:val="8"/>
        </w:numPr>
      </w:pPr>
      <w:r w:rsidRPr="0049324E">
        <w:rPr>
          <w:b/>
        </w:rPr>
        <w:t>Design </w:t>
      </w:r>
      <w:r>
        <w:t xml:space="preserve">: Créer un emballage inspiré de Mondrian à partir d’un produit commercial déjà existant. </w:t>
      </w:r>
    </w:p>
    <w:p w:rsidR="0049324E" w:rsidRDefault="0049324E" w:rsidP="0049324E">
      <w:pPr>
        <w:pStyle w:val="ListParagraph"/>
        <w:ind w:left="1428"/>
      </w:pPr>
      <w:r w:rsidRPr="0049324E">
        <w:t>Ex :</w:t>
      </w:r>
      <w:r>
        <w:t xml:space="preserve"> boite de papiers-mouchoirs, bouteille de shampoing, sachets ou pochettes, etc. </w:t>
      </w:r>
    </w:p>
    <w:p w:rsidR="0049324E" w:rsidRDefault="0049324E" w:rsidP="0049324E">
      <w:pPr>
        <w:pStyle w:val="ListParagraph"/>
        <w:numPr>
          <w:ilvl w:val="0"/>
          <w:numId w:val="9"/>
        </w:numPr>
      </w:pPr>
      <w:r>
        <w:t xml:space="preserve">Repeindre la surface </w:t>
      </w:r>
      <w:r>
        <w:t xml:space="preserve">en blanc </w:t>
      </w:r>
      <w:r>
        <w:t>avec de l’acrylique</w:t>
      </w:r>
    </w:p>
    <w:p w:rsidR="0049324E" w:rsidRDefault="0049324E" w:rsidP="0049324E">
      <w:pPr>
        <w:pStyle w:val="ListParagraph"/>
        <w:numPr>
          <w:ilvl w:val="0"/>
          <w:numId w:val="9"/>
        </w:numPr>
      </w:pPr>
      <w:r>
        <w:t>Créer le nouveau look de l’emballage</w:t>
      </w:r>
    </w:p>
    <w:p w:rsidR="0049324E" w:rsidRDefault="0049324E" w:rsidP="0049324E">
      <w:r>
        <w:rPr>
          <w:noProof/>
          <w:lang w:eastAsia="fr-CA"/>
        </w:rPr>
        <w:t xml:space="preserve">                                                                </w:t>
      </w:r>
      <w:r>
        <w:rPr>
          <w:noProof/>
          <w:lang w:eastAsia="fr-CA"/>
        </w:rPr>
        <w:drawing>
          <wp:inline distT="0" distB="0" distL="0" distR="0">
            <wp:extent cx="2876550" cy="1916502"/>
            <wp:effectExtent l="0" t="0" r="0" b="7620"/>
            <wp:docPr id="13" name="Picture 13" descr="Résultats de recherche d'images pour « marketing Mondria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marketing Mondrian »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681397" w:rsidRDefault="00681397" w:rsidP="0049324E"/>
    <w:p w:rsidR="00681397" w:rsidRDefault="00681397" w:rsidP="00681397">
      <w:pPr>
        <w:pStyle w:val="ListParagraph"/>
        <w:numPr>
          <w:ilvl w:val="0"/>
          <w:numId w:val="8"/>
        </w:numPr>
      </w:pPr>
      <w:r w:rsidRPr="00681397">
        <w:rPr>
          <w:b/>
        </w:rPr>
        <w:t>Musique, art et danse</w:t>
      </w:r>
      <w:r>
        <w:t xml:space="preserve"> : en analysant l’œuvre ‘Broadway Boogie-Woogie’, </w:t>
      </w:r>
      <w:proofErr w:type="gramStart"/>
      <w:r>
        <w:t>d</w:t>
      </w:r>
      <w:r w:rsidR="005960F0">
        <w:t>iscuter</w:t>
      </w:r>
      <w:proofErr w:type="gramEnd"/>
      <w:r w:rsidR="005960F0">
        <w:t xml:space="preserve"> </w:t>
      </w:r>
      <w:r>
        <w:t>de l’influence de l’environnement sur l’inspiration artistique et de l’influence</w:t>
      </w:r>
      <w:r w:rsidR="005960F0">
        <w:t xml:space="preserve"> de</w:t>
      </w:r>
      <w:r>
        <w:t xml:space="preserve"> </w:t>
      </w:r>
      <w:r w:rsidR="005960F0">
        <w:t xml:space="preserve">diverses </w:t>
      </w:r>
      <w:r>
        <w:t xml:space="preserve">formes d’art </w:t>
      </w:r>
      <w:r w:rsidR="005960F0">
        <w:t>entre elles</w:t>
      </w:r>
      <w:r>
        <w:t>.</w:t>
      </w:r>
    </w:p>
    <w:p w:rsidR="00681397" w:rsidRDefault="00681397" w:rsidP="00681397">
      <w:pPr>
        <w:pStyle w:val="ListParagraph"/>
        <w:ind w:left="1428"/>
      </w:pPr>
    </w:p>
    <w:p w:rsidR="005960F0" w:rsidRDefault="005960F0" w:rsidP="00681397">
      <w:pPr>
        <w:pStyle w:val="ListParagraph"/>
        <w:ind w:left="2136" w:firstLine="696"/>
      </w:pPr>
    </w:p>
    <w:p w:rsidR="00681397" w:rsidRDefault="00681397" w:rsidP="00681397">
      <w:pPr>
        <w:pStyle w:val="ListParagraph"/>
        <w:ind w:left="2136" w:firstLine="696"/>
      </w:pPr>
      <w:r>
        <w:rPr>
          <w:noProof/>
          <w:lang w:eastAsia="fr-CA"/>
        </w:rPr>
        <w:drawing>
          <wp:inline distT="0" distB="0" distL="0" distR="0" wp14:anchorId="49477A01" wp14:editId="56204D2F">
            <wp:extent cx="3368288" cy="3445035"/>
            <wp:effectExtent l="0" t="0" r="3810" b="3175"/>
            <wp:docPr id="24" name="Picture 24" descr="Résultats de recherche d'images pour « broadway boogie woogie de piet mondria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broadway boogie woogie de piet mondrian 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13" cy="344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97" w:rsidRDefault="00681397" w:rsidP="00681397">
      <w:pPr>
        <w:pStyle w:val="ListParagraph"/>
        <w:ind w:left="142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A9210" wp14:editId="04D26827">
                <wp:simplePos x="0" y="0"/>
                <wp:positionH relativeFrom="column">
                  <wp:posOffset>1247115</wp:posOffset>
                </wp:positionH>
                <wp:positionV relativeFrom="paragraph">
                  <wp:posOffset>199390</wp:posOffset>
                </wp:positionV>
                <wp:extent cx="4564685" cy="3664915"/>
                <wp:effectExtent l="0" t="0" r="26670" b="120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685" cy="366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397" w:rsidRDefault="00681397" w:rsidP="00681397">
                            <w:pPr>
                              <w:spacing w:after="0" w:line="240" w:lineRule="auto"/>
                            </w:pPr>
                            <w:r w:rsidRPr="00681397">
                              <w:rPr>
                                <w:b/>
                                <w:i/>
                              </w:rPr>
                              <w:t>Broadway Boogie-Woogie</w:t>
                            </w:r>
                            <w:r>
                              <w:t xml:space="preserve"> </w:t>
                            </w:r>
                          </w:p>
                          <w:p w:rsidR="00681397" w:rsidRPr="00681397" w:rsidRDefault="00681397" w:rsidP="0068139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681397">
                              <w:rPr>
                                <w:lang w:val="en-US"/>
                              </w:rPr>
                              <w:t>Huile</w:t>
                            </w:r>
                            <w:proofErr w:type="spellEnd"/>
                            <w:r w:rsidRPr="00681397">
                              <w:rPr>
                                <w:lang w:val="en-US"/>
                              </w:rPr>
                              <w:t xml:space="preserve"> sur toile, </w:t>
                            </w:r>
                            <w:r>
                              <w:rPr>
                                <w:lang w:val="en-US"/>
                              </w:rPr>
                              <w:t>1942</w:t>
                            </w:r>
                          </w:p>
                          <w:p w:rsidR="00681397" w:rsidRPr="00681397" w:rsidRDefault="00681397" w:rsidP="0068139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681397">
                              <w:rPr>
                                <w:lang w:val="en-US"/>
                              </w:rPr>
                              <w:t>Museum of Modern Art, New-York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</w:pPr>
                            <w:r w:rsidRPr="00681397">
                              <w:t xml:space="preserve">Lorsque l’on observe le tableau pour la première fois sans connaître le titre, il ne vient pas tout de suite à l’idée qu’il s’agit de Broadway, un des principaux axes nord-sud, du quartier de Manhattan à New York. 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</w:pPr>
                            <w:r w:rsidRPr="00681397">
                              <w:t xml:space="preserve">Le tableau est abstrait et nous ne visualisons pas la ville américaine. 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</w:pPr>
                            <w:r w:rsidRPr="00681397">
                              <w:t xml:space="preserve">Le titre sert donc de clef de lecture de l’œuvre. 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</w:pPr>
                            <w:r w:rsidRPr="00681397">
                              <w:t xml:space="preserve">Une fois le titre connu, nous distinguons mieux les éléments propres à la ville de New York: 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  <w:ind w:left="708"/>
                            </w:pPr>
                            <w:r w:rsidRPr="00681397">
                              <w:t xml:space="preserve">- Le quadrillage des rues et le plan en damier 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  <w:ind w:left="708"/>
                            </w:pPr>
                            <w:r w:rsidRPr="00681397">
                              <w:t xml:space="preserve">- L’importance des angles droits: la plupart des rues new-yorkaises portent des numéros et se ressemblent. C’est la raison pour laquelle Mondrian a choisi de représenter les rues avec des lignes droites de même épaisseur. </w:t>
                            </w:r>
                          </w:p>
                          <w:p w:rsidR="00681397" w:rsidRDefault="00681397" w:rsidP="00681397">
                            <w:pPr>
                              <w:spacing w:after="0" w:line="240" w:lineRule="auto"/>
                              <w:ind w:left="708"/>
                            </w:pPr>
                            <w:r w:rsidRPr="00681397">
                              <w:t xml:space="preserve">- La multiplicité de petits carrés de couleurs rappelle les lumières, les enseignes des théâtres, la circulation automobile. </w:t>
                            </w:r>
                          </w:p>
                          <w:p w:rsidR="00681397" w:rsidRPr="00681397" w:rsidRDefault="00681397" w:rsidP="00681397">
                            <w:pPr>
                              <w:spacing w:after="0" w:line="240" w:lineRule="auto"/>
                              <w:ind w:left="708"/>
                            </w:pPr>
                            <w:r>
                              <w:t xml:space="preserve">- </w:t>
                            </w:r>
                            <w:r w:rsidRPr="00681397">
                              <w:t>Le tout crée un rythme effréné insp</w:t>
                            </w:r>
                            <w:r>
                              <w:t>iré du jazz et du boogie-woogie, style musical que Mondrian découvre à New-York dans les années 1940.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8.2pt;margin-top:15.7pt;width:359.4pt;height:28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">
                <v:textbox>
                  <w:txbxContent>
                    <w:p w:rsidR="00681397" w:rsidRDefault="00681397" w:rsidP="00681397">
                      <w:pPr>
                        <w:spacing w:after="0" w:line="240" w:lineRule="auto"/>
                      </w:pPr>
                      <w:r w:rsidRPr="00681397">
                        <w:rPr>
                          <w:b/>
                          <w:i/>
                        </w:rPr>
                        <w:t>Broadway Boogie-Woogie</w:t>
                      </w:r>
                      <w:r>
                        <w:t xml:space="preserve"> </w:t>
                      </w:r>
                    </w:p>
                    <w:p w:rsidR="00681397" w:rsidRPr="00681397" w:rsidRDefault="00681397" w:rsidP="0068139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681397">
                        <w:rPr>
                          <w:lang w:val="en-US"/>
                        </w:rPr>
                        <w:t>Huile</w:t>
                      </w:r>
                      <w:proofErr w:type="spellEnd"/>
                      <w:r w:rsidRPr="00681397">
                        <w:rPr>
                          <w:lang w:val="en-US"/>
                        </w:rPr>
                        <w:t xml:space="preserve"> sur toile, </w:t>
                      </w:r>
                      <w:r>
                        <w:rPr>
                          <w:lang w:val="en-US"/>
                        </w:rPr>
                        <w:t>1942</w:t>
                      </w:r>
                    </w:p>
                    <w:p w:rsidR="00681397" w:rsidRPr="00681397" w:rsidRDefault="00681397" w:rsidP="0068139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681397">
                        <w:rPr>
                          <w:lang w:val="en-US"/>
                        </w:rPr>
                        <w:t>Museum of Modern Art, New-York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681397" w:rsidRDefault="00681397" w:rsidP="00681397">
                      <w:pPr>
                        <w:spacing w:after="0" w:line="240" w:lineRule="auto"/>
                      </w:pPr>
                      <w:r w:rsidRPr="00681397">
                        <w:t xml:space="preserve">Lorsque l’on observe le tableau pour la première fois sans connaître le titre, il ne vient pas tout de suite à l’idée qu’il s’agit de Broadway, un des principaux axes nord-sud, du quartier de Manhattan à New York. 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</w:pPr>
                      <w:r w:rsidRPr="00681397">
                        <w:t xml:space="preserve">Le tableau est abstrait et nous ne visualisons pas la ville américaine. 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</w:pPr>
                      <w:r w:rsidRPr="00681397">
                        <w:t xml:space="preserve">Le titre sert donc de clef de lecture de l’œuvre. 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</w:pPr>
                      <w:r w:rsidRPr="00681397">
                        <w:t xml:space="preserve">Une fois le titre connu, nous distinguons mieux les éléments propres à la ville de New York: 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  <w:ind w:left="708"/>
                      </w:pPr>
                      <w:r w:rsidRPr="00681397">
                        <w:t xml:space="preserve">- Le quadrillage des rues et le plan en damier 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  <w:ind w:left="708"/>
                      </w:pPr>
                      <w:r w:rsidRPr="00681397">
                        <w:t xml:space="preserve">- L’importance des angles droits: la plupart des rues new-yorkaises portent des numéros et se ressemblent. C’est la raison pour laquelle Mondrian a choisi de représenter les rues avec des lignes droites de même épaisseur. </w:t>
                      </w:r>
                    </w:p>
                    <w:p w:rsidR="00681397" w:rsidRDefault="00681397" w:rsidP="00681397">
                      <w:pPr>
                        <w:spacing w:after="0" w:line="240" w:lineRule="auto"/>
                        <w:ind w:left="708"/>
                      </w:pPr>
                      <w:r w:rsidRPr="00681397">
                        <w:t xml:space="preserve">- La multiplicité de petits carrés de couleurs rappelle les lumières, les enseignes des théâtres, la circulation automobile. </w:t>
                      </w:r>
                    </w:p>
                    <w:p w:rsidR="00681397" w:rsidRPr="00681397" w:rsidRDefault="00681397" w:rsidP="00681397">
                      <w:pPr>
                        <w:spacing w:after="0" w:line="240" w:lineRule="auto"/>
                        <w:ind w:left="708"/>
                      </w:pPr>
                      <w:r>
                        <w:t xml:space="preserve">- </w:t>
                      </w:r>
                      <w:r w:rsidRPr="00681397">
                        <w:t>Le tout crée un rythme effréné insp</w:t>
                      </w:r>
                      <w:r>
                        <w:t>iré du jazz et du boogie-woogie, style musical que Mondrian découvre à New-York dans les années 1940.</w:t>
                      </w:r>
                    </w:p>
                  </w:txbxContent>
                </v:textbox>
              </v:shape>
            </w:pict>
          </mc:Fallback>
        </mc:AlternateContent>
      </w: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  <w:r>
        <w:tab/>
      </w: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</w:p>
    <w:p w:rsidR="00194C76" w:rsidRDefault="00194C76" w:rsidP="00194C76">
      <w:bookmarkStart w:id="0" w:name="_GoBack"/>
      <w:bookmarkEnd w:id="0"/>
    </w:p>
    <w:p w:rsidR="00681397" w:rsidRDefault="00681397" w:rsidP="00681397">
      <w:pPr>
        <w:ind w:left="708" w:firstLine="708"/>
      </w:pPr>
      <w:r>
        <w:t>Biographie de Mondrian :</w:t>
      </w:r>
    </w:p>
    <w:p w:rsidR="00681397" w:rsidRDefault="00681397" w:rsidP="00681397">
      <w:pPr>
        <w:ind w:left="708" w:firstLine="708"/>
      </w:pPr>
      <w:hyperlink r:id="rId26" w:history="1">
        <w:r w:rsidRPr="00EC3E83">
          <w:rPr>
            <w:rStyle w:val="Hyperlink"/>
          </w:rPr>
          <w:t>https://fr.wikipedia.org/wiki/Piet_Mondrian</w:t>
        </w:r>
      </w:hyperlink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  <w:r>
        <w:t>Mathématiques : document sur les notions de droites, d’angles</w:t>
      </w:r>
    </w:p>
    <w:p w:rsidR="00681397" w:rsidRDefault="00681397" w:rsidP="00681397">
      <w:pPr>
        <w:ind w:left="708" w:firstLine="708"/>
      </w:pPr>
      <w:hyperlink r:id="rId27" w:history="1">
        <w:r w:rsidRPr="00EC3E83">
          <w:rPr>
            <w:rStyle w:val="Hyperlink"/>
          </w:rPr>
          <w:t>http://www.college-therouanne.net/vie_au_college/les_cours/math/cours6/avec_regle_equerre.pdf</w:t>
        </w:r>
      </w:hyperlink>
    </w:p>
    <w:p w:rsidR="00681397" w:rsidRDefault="00681397" w:rsidP="00681397">
      <w:pPr>
        <w:ind w:left="708" w:firstLine="708"/>
      </w:pPr>
    </w:p>
    <w:p w:rsidR="00681397" w:rsidRDefault="00681397" w:rsidP="00681397">
      <w:pPr>
        <w:ind w:left="708" w:firstLine="708"/>
      </w:pPr>
      <w:r>
        <w:t>Histoire des arts – Broadway Boogie-Woogie</w:t>
      </w:r>
    </w:p>
    <w:p w:rsidR="00681397" w:rsidRDefault="00681397" w:rsidP="00681397">
      <w:pPr>
        <w:ind w:left="708" w:firstLine="708"/>
      </w:pPr>
      <w:hyperlink r:id="rId28" w:history="1">
        <w:r w:rsidRPr="00EC3E83">
          <w:rPr>
            <w:rStyle w:val="Hyperlink"/>
          </w:rPr>
          <w:t>http://collegedesflandres.etab.ac-lille.fr/HIDA/3HDA-APla-MONDRIAN.pdf</w:t>
        </w:r>
      </w:hyperlink>
    </w:p>
    <w:p w:rsidR="00681397" w:rsidRDefault="00681397" w:rsidP="00681397">
      <w:pPr>
        <w:ind w:left="708" w:firstLine="708"/>
      </w:pPr>
    </w:p>
    <w:p w:rsidR="00194C76" w:rsidRDefault="00194C76" w:rsidP="00194C76">
      <w:pPr>
        <w:ind w:left="708" w:firstLine="708"/>
      </w:pPr>
      <w:r>
        <w:t>Boogie-woogie –</w:t>
      </w:r>
      <w:r>
        <w:t xml:space="preserve"> </w:t>
      </w:r>
      <w:r>
        <w:t>danse</w:t>
      </w:r>
      <w:r>
        <w:t xml:space="preserve"> et musique</w:t>
      </w:r>
      <w:r>
        <w:t> :</w:t>
      </w:r>
    </w:p>
    <w:p w:rsidR="00681397" w:rsidRDefault="00194C76" w:rsidP="00194C76">
      <w:pPr>
        <w:ind w:left="708" w:firstLine="708"/>
      </w:pPr>
      <w:hyperlink r:id="rId29" w:history="1">
        <w:r w:rsidRPr="00EC3E83">
          <w:rPr>
            <w:rStyle w:val="Hyperlink"/>
          </w:rPr>
          <w:t>https://www.youtube.com/watch?v=WOjrOKshfLg</w:t>
        </w:r>
      </w:hyperlink>
    </w:p>
    <w:p w:rsidR="00681397" w:rsidRPr="00E6188A" w:rsidRDefault="00681397" w:rsidP="00681397"/>
    <w:sectPr w:rsidR="00681397" w:rsidRPr="00E6188A" w:rsidSect="003D47F3">
      <w:footerReference w:type="default" r:id="rId30"/>
      <w:pgSz w:w="12240" w:h="15840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7F3" w:rsidRDefault="003D47F3" w:rsidP="003D47F3">
      <w:pPr>
        <w:spacing w:after="0" w:line="240" w:lineRule="auto"/>
      </w:pPr>
      <w:r>
        <w:separator/>
      </w:r>
    </w:p>
  </w:endnote>
  <w:endnote w:type="continuationSeparator" w:id="0">
    <w:p w:rsidR="003D47F3" w:rsidRDefault="003D47F3" w:rsidP="003D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9846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47F3" w:rsidRDefault="003D47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60F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D47F3" w:rsidRDefault="003D47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7F3" w:rsidRDefault="003D47F3" w:rsidP="003D47F3">
      <w:pPr>
        <w:spacing w:after="0" w:line="240" w:lineRule="auto"/>
      </w:pPr>
      <w:r>
        <w:separator/>
      </w:r>
    </w:p>
  </w:footnote>
  <w:footnote w:type="continuationSeparator" w:id="0">
    <w:p w:rsidR="003D47F3" w:rsidRDefault="003D47F3" w:rsidP="003D4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441C"/>
    <w:multiLevelType w:val="hybridMultilevel"/>
    <w:tmpl w:val="7EAAE440"/>
    <w:lvl w:ilvl="0" w:tplc="C6428C86">
      <w:start w:val="12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6D12EB"/>
    <w:multiLevelType w:val="hybridMultilevel"/>
    <w:tmpl w:val="E1CE1E7E"/>
    <w:lvl w:ilvl="0" w:tplc="C6428C8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7730B"/>
    <w:multiLevelType w:val="hybridMultilevel"/>
    <w:tmpl w:val="5BE27918"/>
    <w:lvl w:ilvl="0" w:tplc="C6428C8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2078C"/>
    <w:multiLevelType w:val="hybridMultilevel"/>
    <w:tmpl w:val="7A349044"/>
    <w:lvl w:ilvl="0" w:tplc="C6428C86">
      <w:start w:val="12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6A61D0B"/>
    <w:multiLevelType w:val="hybridMultilevel"/>
    <w:tmpl w:val="AC90851E"/>
    <w:lvl w:ilvl="0" w:tplc="C6428C86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C9A3846"/>
    <w:multiLevelType w:val="hybridMultilevel"/>
    <w:tmpl w:val="1438ECD2"/>
    <w:lvl w:ilvl="0" w:tplc="C6428C8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187800"/>
    <w:multiLevelType w:val="hybridMultilevel"/>
    <w:tmpl w:val="17821E7C"/>
    <w:lvl w:ilvl="0" w:tplc="C6428C8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660EEE"/>
    <w:multiLevelType w:val="hybridMultilevel"/>
    <w:tmpl w:val="E5907236"/>
    <w:lvl w:ilvl="0" w:tplc="0C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79BB4027"/>
    <w:multiLevelType w:val="hybridMultilevel"/>
    <w:tmpl w:val="995CE8C4"/>
    <w:lvl w:ilvl="0" w:tplc="C6428C8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8A"/>
    <w:rsid w:val="000167F9"/>
    <w:rsid w:val="00026EF4"/>
    <w:rsid w:val="00036B13"/>
    <w:rsid w:val="00062E99"/>
    <w:rsid w:val="000B3B7F"/>
    <w:rsid w:val="000D7CBE"/>
    <w:rsid w:val="000E1BBD"/>
    <w:rsid w:val="000F56C1"/>
    <w:rsid w:val="00194C76"/>
    <w:rsid w:val="0027337A"/>
    <w:rsid w:val="002F2502"/>
    <w:rsid w:val="00362A3F"/>
    <w:rsid w:val="003841C1"/>
    <w:rsid w:val="003873BF"/>
    <w:rsid w:val="003D47F3"/>
    <w:rsid w:val="00407493"/>
    <w:rsid w:val="004271F8"/>
    <w:rsid w:val="0049324E"/>
    <w:rsid w:val="004D3498"/>
    <w:rsid w:val="005014B5"/>
    <w:rsid w:val="00507B36"/>
    <w:rsid w:val="005342EB"/>
    <w:rsid w:val="005960F0"/>
    <w:rsid w:val="005F4ED7"/>
    <w:rsid w:val="00602BEF"/>
    <w:rsid w:val="00642ECA"/>
    <w:rsid w:val="00681397"/>
    <w:rsid w:val="006935B9"/>
    <w:rsid w:val="006C7AD9"/>
    <w:rsid w:val="006D177C"/>
    <w:rsid w:val="006D6DA2"/>
    <w:rsid w:val="00720BB5"/>
    <w:rsid w:val="00722709"/>
    <w:rsid w:val="00756787"/>
    <w:rsid w:val="00791B70"/>
    <w:rsid w:val="007928A3"/>
    <w:rsid w:val="007C206F"/>
    <w:rsid w:val="00821E43"/>
    <w:rsid w:val="008E16A6"/>
    <w:rsid w:val="00956F93"/>
    <w:rsid w:val="009A2BDC"/>
    <w:rsid w:val="009B3826"/>
    <w:rsid w:val="00A01E0A"/>
    <w:rsid w:val="00A17294"/>
    <w:rsid w:val="00A8264F"/>
    <w:rsid w:val="00AA4BEB"/>
    <w:rsid w:val="00B71D39"/>
    <w:rsid w:val="00BA7F6F"/>
    <w:rsid w:val="00BB1FD3"/>
    <w:rsid w:val="00C11D76"/>
    <w:rsid w:val="00C35F4F"/>
    <w:rsid w:val="00CA52D7"/>
    <w:rsid w:val="00CF3B1D"/>
    <w:rsid w:val="00D44AEF"/>
    <w:rsid w:val="00D75067"/>
    <w:rsid w:val="00D839BF"/>
    <w:rsid w:val="00DA426E"/>
    <w:rsid w:val="00E05270"/>
    <w:rsid w:val="00E07429"/>
    <w:rsid w:val="00E51C63"/>
    <w:rsid w:val="00E5248E"/>
    <w:rsid w:val="00E6188A"/>
    <w:rsid w:val="00E976A5"/>
    <w:rsid w:val="00EA5D8E"/>
    <w:rsid w:val="00EC4A1F"/>
    <w:rsid w:val="00ED367E"/>
    <w:rsid w:val="00F35BD2"/>
    <w:rsid w:val="00F6591F"/>
    <w:rsid w:val="00F8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18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7F3"/>
  </w:style>
  <w:style w:type="paragraph" w:styleId="Footer">
    <w:name w:val="footer"/>
    <w:basedOn w:val="Normal"/>
    <w:link w:val="FooterChar"/>
    <w:uiPriority w:val="99"/>
    <w:unhideWhenUsed/>
    <w:rsid w:val="003D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7F3"/>
  </w:style>
  <w:style w:type="character" w:styleId="Hyperlink">
    <w:name w:val="Hyperlink"/>
    <w:basedOn w:val="DefaultParagraphFont"/>
    <w:uiPriority w:val="99"/>
    <w:unhideWhenUsed/>
    <w:rsid w:val="00D750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18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7F3"/>
  </w:style>
  <w:style w:type="paragraph" w:styleId="Footer">
    <w:name w:val="footer"/>
    <w:basedOn w:val="Normal"/>
    <w:link w:val="FooterChar"/>
    <w:uiPriority w:val="99"/>
    <w:unhideWhenUsed/>
    <w:rsid w:val="003D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7F3"/>
  </w:style>
  <w:style w:type="character" w:styleId="Hyperlink">
    <w:name w:val="Hyperlink"/>
    <w:basedOn w:val="DefaultParagraphFont"/>
    <w:uiPriority w:val="99"/>
    <w:unhideWhenUsed/>
    <w:rsid w:val="00D750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fr.wikipedia.org/wiki/Piet_Mondrian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WOjrOKshfL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collegedesflandres.etab.ac-lille.fr/HIDA/3HDA-APla-MONDRIAN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college-therouanne.net/vie_au_college/les_cours/math/cours6/avec_regle_equerre.pdf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BC2FA-8C54-4B70-9017-58ECC049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795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Mireille Cloutier</dc:creator>
  <cp:lastModifiedBy>Mireille Cloutier</cp:lastModifiedBy>
  <cp:revision>10</cp:revision>
  <dcterms:created xsi:type="dcterms:W3CDTF">2018-02-03T16:17:00Z</dcterms:created>
  <dcterms:modified xsi:type="dcterms:W3CDTF">2018-02-03T19:02:00Z</dcterms:modified>
</cp:coreProperties>
</file>